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9283F">
      <w:pPr>
        <w:spacing w:line="360" w:lineRule="auto"/>
        <w:jc w:val="center"/>
        <w:rPr>
          <w:rFonts w:ascii="宋体"/>
          <w:b/>
          <w:color w:val="000000" w:themeColor="text1"/>
          <w:sz w:val="32"/>
          <w:szCs w:val="32"/>
          <w14:textFill>
            <w14:solidFill>
              <w14:schemeClr w14:val="tx1"/>
            </w14:solidFill>
          </w14:textFill>
        </w:rPr>
      </w:pPr>
      <w:bookmarkStart w:id="0" w:name="_GoBack"/>
      <w:r>
        <w:rPr>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1800225</wp:posOffset>
            </wp:positionH>
            <wp:positionV relativeFrom="paragraph">
              <wp:posOffset>-25400</wp:posOffset>
            </wp:positionV>
            <wp:extent cx="1647190" cy="387985"/>
            <wp:effectExtent l="0" t="0" r="3810" b="5715"/>
            <wp:wrapNone/>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5" cstate="print"/>
                    <a:srcRect/>
                    <a:stretch>
                      <a:fillRect/>
                    </a:stretch>
                  </pic:blipFill>
                  <pic:spPr>
                    <a:xfrm>
                      <a:off x="0" y="0"/>
                      <a:ext cx="1647190" cy="387985"/>
                    </a:xfrm>
                    <a:prstGeom prst="rect">
                      <a:avLst/>
                    </a:prstGeom>
                    <a:ln>
                      <a:noFill/>
                    </a:ln>
                  </pic:spPr>
                </pic:pic>
              </a:graphicData>
            </a:graphic>
          </wp:anchor>
        </w:drawing>
      </w:r>
    </w:p>
    <w:p w14:paraId="3D150004">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lang w:val="en-US" w:eastAsia="zh-CN"/>
          <w14:textFill>
            <w14:solidFill>
              <w14:schemeClr w14:val="tx1"/>
            </w14:solidFill>
          </w14:textFill>
        </w:rPr>
        <w:t>大数据与</w:t>
      </w:r>
      <w:r>
        <w:rPr>
          <w:rFonts w:hint="eastAsia" w:ascii="宋体" w:hAnsi="宋体"/>
          <w:b/>
          <w:color w:val="000000" w:themeColor="text1"/>
          <w:sz w:val="32"/>
          <w:szCs w:val="32"/>
          <w:lang w:eastAsia="zh-CN"/>
          <w14:textFill>
            <w14:solidFill>
              <w14:schemeClr w14:val="tx1"/>
            </w14:solidFill>
          </w14:textFill>
        </w:rPr>
        <w:t>会计</w:t>
      </w:r>
      <w:r>
        <w:rPr>
          <w:rFonts w:hint="eastAsia" w:ascii="宋体" w:hAnsi="宋体"/>
          <w:b/>
          <w:color w:val="000000" w:themeColor="text1"/>
          <w:sz w:val="32"/>
          <w:szCs w:val="32"/>
          <w14:textFill>
            <w14:solidFill>
              <w14:schemeClr w14:val="tx1"/>
            </w14:solidFill>
          </w14:textFill>
        </w:rPr>
        <w:t>专业（</w:t>
      </w:r>
      <w:r>
        <w:rPr>
          <w:rFonts w:hint="eastAsia" w:ascii="宋体" w:hAnsi="宋体"/>
          <w:b/>
          <w:color w:val="000000" w:themeColor="text1"/>
          <w:sz w:val="32"/>
          <w:szCs w:val="32"/>
          <w:lang w:val="en-US" w:eastAsia="zh-CN"/>
          <w14:textFill>
            <w14:solidFill>
              <w14:schemeClr w14:val="tx1"/>
            </w14:solidFill>
          </w14:textFill>
        </w:rPr>
        <w:t>普通高考</w:t>
      </w:r>
      <w:r>
        <w:rPr>
          <w:rFonts w:hint="eastAsia" w:ascii="宋体" w:hAnsi="宋体"/>
          <w:b/>
          <w:color w:val="000000" w:themeColor="text1"/>
          <w:sz w:val="32"/>
          <w:szCs w:val="32"/>
          <w14:textFill>
            <w14:solidFill>
              <w14:schemeClr w14:val="tx1"/>
            </w14:solidFill>
          </w14:textFill>
        </w:rPr>
        <w:t>）</w:t>
      </w:r>
    </w:p>
    <w:p w14:paraId="5B94325D">
      <w:pPr>
        <w:spacing w:line="360" w:lineRule="auto"/>
        <w:jc w:val="center"/>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202</w:t>
      </w:r>
      <w:r>
        <w:rPr>
          <w:rFonts w:hint="eastAsia" w:ascii="宋体" w:hAnsi="宋体"/>
          <w:b/>
          <w:color w:val="000000" w:themeColor="text1"/>
          <w:sz w:val="32"/>
          <w:szCs w:val="32"/>
          <w:lang w:val="en-US" w:eastAsia="zh-CN"/>
          <w14:textFill>
            <w14:solidFill>
              <w14:schemeClr w14:val="tx1"/>
            </w14:solidFill>
          </w14:textFill>
        </w:rPr>
        <w:t>6</w:t>
      </w:r>
      <w:r>
        <w:rPr>
          <w:rFonts w:hint="eastAsia" w:ascii="宋体" w:hAnsi="宋体"/>
          <w:b/>
          <w:color w:val="000000" w:themeColor="text1"/>
          <w:sz w:val="32"/>
          <w:szCs w:val="32"/>
          <w14:textFill>
            <w14:solidFill>
              <w14:schemeClr w14:val="tx1"/>
            </w14:solidFill>
          </w14:textFill>
        </w:rPr>
        <w:t>年高职提前招生综合素质测评大纲</w:t>
      </w:r>
    </w:p>
    <w:p w14:paraId="34413EFA">
      <w:pPr>
        <w:spacing w:line="360" w:lineRule="auto"/>
        <w:rPr>
          <w:rFonts w:ascii="宋体"/>
          <w:color w:val="000000" w:themeColor="text1"/>
          <w:sz w:val="24"/>
          <w14:textFill>
            <w14:solidFill>
              <w14:schemeClr w14:val="tx1"/>
            </w14:solidFill>
          </w14:textFill>
        </w:rPr>
      </w:pPr>
    </w:p>
    <w:p w14:paraId="10BF1549">
      <w:pPr>
        <w:spacing w:line="360" w:lineRule="auto"/>
        <w:ind w:firstLine="482" w:firstLineChars="200"/>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一、测评目标</w:t>
      </w:r>
    </w:p>
    <w:p w14:paraId="55D43191">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综合素质测评主要考查学生的学习能力、知识素养、思想道德、心理素质、学习兴趣等综合素质，选拔出适合本专业学习的综合素质较高、具有一定专业潜质的学生。具体</w:t>
      </w:r>
      <w:r>
        <w:rPr>
          <w:rFonts w:ascii="宋体" w:hAnsi="宋体"/>
          <w:color w:val="000000" w:themeColor="text1"/>
          <w:sz w:val="24"/>
          <w14:textFill>
            <w14:solidFill>
              <w14:schemeClr w14:val="tx1"/>
            </w14:solidFill>
          </w14:textFill>
        </w:rPr>
        <w:t>测</w:t>
      </w:r>
      <w:r>
        <w:rPr>
          <w:rFonts w:hint="eastAsia" w:ascii="宋体" w:hAnsi="宋体"/>
          <w:color w:val="000000" w:themeColor="text1"/>
          <w:sz w:val="24"/>
          <w14:textFill>
            <w14:solidFill>
              <w14:schemeClr w14:val="tx1"/>
            </w14:solidFill>
          </w14:textFill>
        </w:rPr>
        <w:t>评内容包括以下几个方面：</w:t>
      </w:r>
    </w:p>
    <w:p w14:paraId="77B74845">
      <w:pPr>
        <w:spacing w:line="360" w:lineRule="auto"/>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（一）阅读理解能力</w:t>
      </w:r>
    </w:p>
    <w:p w14:paraId="0A96E130">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w:t>
      </w:r>
      <w:r>
        <w:rPr>
          <w:rFonts w:hint="eastAsia" w:ascii="宋体" w:hAnsi="宋体"/>
          <w:color w:val="000000" w:themeColor="text1"/>
          <w:sz w:val="24"/>
          <w:highlight w:val="none"/>
          <w:lang w:val="en-US" w:eastAsia="zh-CN"/>
          <w14:textFill>
            <w14:solidFill>
              <w14:schemeClr w14:val="tx1"/>
            </w14:solidFill>
          </w14:textFill>
        </w:rPr>
        <w:t>考生</w:t>
      </w:r>
      <w:r>
        <w:rPr>
          <w:rFonts w:hint="eastAsia" w:ascii="宋体" w:hAnsi="宋体"/>
          <w:color w:val="000000" w:themeColor="text1"/>
          <w:sz w:val="24"/>
          <w:highlight w:val="none"/>
          <w14:textFill>
            <w14:solidFill>
              <w14:schemeClr w14:val="tx1"/>
            </w14:solidFill>
          </w14:textFill>
        </w:rPr>
        <w:t>片段</w:t>
      </w:r>
      <w:r>
        <w:rPr>
          <w:rFonts w:hint="eastAsia" w:ascii="宋体" w:hAnsi="宋体"/>
          <w:color w:val="000000" w:themeColor="text1"/>
          <w:sz w:val="24"/>
          <w:highlight w:val="none"/>
          <w14:textFill>
            <w14:solidFill>
              <w14:schemeClr w14:val="tx1"/>
            </w14:solidFill>
          </w14:textFill>
        </w:rPr>
        <w:t>阅读</w:t>
      </w:r>
      <w:r>
        <w:rPr>
          <w:rFonts w:hint="eastAsia" w:ascii="宋体" w:hAnsi="宋体"/>
          <w:color w:val="000000" w:themeColor="text1"/>
          <w:sz w:val="24"/>
          <w:highlight w:val="none"/>
          <w14:textFill>
            <w14:solidFill>
              <w14:schemeClr w14:val="tx1"/>
            </w14:solidFill>
          </w14:textFill>
        </w:rPr>
        <w:t>理解</w:t>
      </w:r>
      <w:r>
        <w:rPr>
          <w:rFonts w:hint="eastAsia" w:ascii="宋体" w:hAnsi="宋体"/>
          <w:color w:val="000000" w:themeColor="text1"/>
          <w:sz w:val="24"/>
          <w14:textFill>
            <w14:solidFill>
              <w14:schemeClr w14:val="tx1"/>
            </w14:solidFill>
          </w14:textFill>
        </w:rPr>
        <w:t>的观点和观念的能力，能准确地判断作者的态度、意图和目的，能够理解一段话的中心思想和主旨。</w:t>
      </w:r>
    </w:p>
    <w:p w14:paraId="307A882A">
      <w:pPr>
        <w:spacing w:line="360" w:lineRule="auto"/>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（二）</w:t>
      </w:r>
      <w:r>
        <w:rPr>
          <w:rFonts w:hint="eastAsia"/>
          <w:b/>
          <w:bCs/>
          <w:color w:val="000000" w:themeColor="text1"/>
          <w:sz w:val="24"/>
          <w14:textFill>
            <w14:solidFill>
              <w14:schemeClr w14:val="tx1"/>
            </w14:solidFill>
          </w14:textFill>
        </w:rPr>
        <w:t>判断推理能力</w:t>
      </w:r>
    </w:p>
    <w:p w14:paraId="590FAD67">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测查考生对各种事物关系的分析推理能力，涉及对图形、语词概念和文字材料的理解、比较、组合、演绎和归纳等。</w:t>
      </w:r>
    </w:p>
    <w:p w14:paraId="1C0266C6">
      <w:pPr>
        <w:spacing w:line="360" w:lineRule="auto"/>
        <w:rPr>
          <w:rFonts w:asci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（三）语言表达能力</w:t>
      </w:r>
    </w:p>
    <w:p w14:paraId="5311F49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测</w:t>
      </w:r>
      <w:r>
        <w:rPr>
          <w:rFonts w:hint="eastAsia" w:ascii="宋体" w:hAnsi="宋体"/>
          <w:color w:val="000000" w:themeColor="text1"/>
          <w:sz w:val="24"/>
          <w14:textFill>
            <w14:solidFill>
              <w14:schemeClr w14:val="tx1"/>
            </w14:solidFill>
          </w14:textFill>
        </w:rPr>
        <w:t>查考生清楚地表达自己的思想、观点，以及分析、解释、叙述事情的能力。</w:t>
      </w:r>
    </w:p>
    <w:p w14:paraId="406382BF">
      <w:pPr>
        <w:spacing w:line="360" w:lineRule="auto"/>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四</w:t>
      </w:r>
      <w:r>
        <w:rPr>
          <w:rFonts w:hint="eastAsia" w:ascii="宋体" w:hAnsi="宋体"/>
          <w:b/>
          <w:bCs/>
          <w:color w:val="000000" w:themeColor="text1"/>
          <w:sz w:val="24"/>
          <w14:textFill>
            <w14:solidFill>
              <w14:schemeClr w14:val="tx1"/>
            </w14:solidFill>
          </w14:textFill>
        </w:rPr>
        <w:t>）常识判断能力</w:t>
      </w:r>
    </w:p>
    <w:p w14:paraId="5683B3C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测查考生应知应会的基本知识以及运用这些知识进行分析判断的基本能力，重点测查对国情社情的了解程度、综合管理基本素质等，内容涉及政治、经济、法律、历史、文化、地理、环境、自然、科技等方面。</w:t>
      </w:r>
    </w:p>
    <w:p w14:paraId="6F3BE7D7">
      <w:pPr>
        <w:spacing w:line="360" w:lineRule="auto"/>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大数据与会计</w:t>
      </w:r>
      <w:r>
        <w:rPr>
          <w:rFonts w:hint="eastAsia" w:ascii="宋体" w:hAnsi="宋体"/>
          <w:b/>
          <w:bCs/>
          <w:color w:val="000000" w:themeColor="text1"/>
          <w:sz w:val="24"/>
          <w14:textFill>
            <w14:solidFill>
              <w14:schemeClr w14:val="tx1"/>
            </w14:solidFill>
          </w14:textFill>
        </w:rPr>
        <w:t>岗位潜力</w:t>
      </w:r>
    </w:p>
    <w:p w14:paraId="3BEA915C">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测查考生对</w:t>
      </w:r>
      <w:r>
        <w:rPr>
          <w:rFonts w:hint="eastAsia" w:ascii="宋体" w:hAnsi="宋体"/>
          <w:color w:val="000000" w:themeColor="text1"/>
          <w:sz w:val="24"/>
          <w:lang w:val="en-US" w:eastAsia="zh-CN"/>
          <w14:textFill>
            <w14:solidFill>
              <w14:schemeClr w14:val="tx1"/>
            </w14:solidFill>
          </w14:textFill>
        </w:rPr>
        <w:t>大数据与会计职业</w:t>
      </w:r>
      <w:r>
        <w:rPr>
          <w:rFonts w:hint="eastAsia" w:ascii="宋体" w:hAnsi="宋体"/>
          <w:color w:val="000000" w:themeColor="text1"/>
          <w:sz w:val="24"/>
          <w14:textFill>
            <w14:solidFill>
              <w14:schemeClr w14:val="tx1"/>
            </w14:solidFill>
          </w14:textFill>
        </w:rPr>
        <w:t>、专业及相关岗位的认知程度，要求了解</w:t>
      </w:r>
      <w:r>
        <w:rPr>
          <w:rFonts w:hint="eastAsia" w:ascii="宋体" w:hAnsi="宋体"/>
          <w:color w:val="000000" w:themeColor="text1"/>
          <w:sz w:val="24"/>
          <w:lang w:val="en-US" w:eastAsia="zh-CN"/>
          <w14:textFill>
            <w14:solidFill>
              <w14:schemeClr w14:val="tx1"/>
            </w14:solidFill>
          </w14:textFill>
        </w:rPr>
        <w:t>企业数字经济应用场景及财会职业发展趋势</w:t>
      </w:r>
      <w:r>
        <w:rPr>
          <w:rFonts w:hint="eastAsia" w:ascii="宋体" w:hAnsi="宋体"/>
          <w:color w:val="000000" w:themeColor="text1"/>
          <w:sz w:val="24"/>
          <w14:textFill>
            <w14:solidFill>
              <w14:schemeClr w14:val="tx1"/>
            </w14:solidFill>
          </w14:textFill>
        </w:rPr>
        <w:t>，具备一定的</w:t>
      </w:r>
      <w:r>
        <w:rPr>
          <w:rFonts w:hint="eastAsia" w:ascii="宋体" w:hAnsi="宋体"/>
          <w:color w:val="000000" w:themeColor="text1"/>
          <w:sz w:val="24"/>
          <w:lang w:val="en-US" w:eastAsia="zh-CN"/>
          <w14:textFill>
            <w14:solidFill>
              <w14:schemeClr w14:val="tx1"/>
            </w14:solidFill>
          </w14:textFill>
        </w:rPr>
        <w:t>会计核算潜力</w:t>
      </w:r>
      <w:r>
        <w:rPr>
          <w:rFonts w:hint="eastAsia" w:ascii="宋体" w:hAnsi="宋体"/>
          <w:color w:val="000000" w:themeColor="text1"/>
          <w:sz w:val="24"/>
          <w14:textFill>
            <w14:solidFill>
              <w14:schemeClr w14:val="tx1"/>
            </w14:solidFill>
          </w14:textFill>
        </w:rPr>
        <w:t>。</w:t>
      </w:r>
    </w:p>
    <w:p w14:paraId="19EF057A">
      <w:pPr>
        <w:spacing w:line="360" w:lineRule="auto"/>
        <w:ind w:firstLine="482" w:firstLineChars="200"/>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六</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与专业相关的其他能力</w:t>
      </w:r>
    </w:p>
    <w:p w14:paraId="016C8DD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要求考生具备</w:t>
      </w:r>
      <w:r>
        <w:rPr>
          <w:rFonts w:hint="eastAsia" w:ascii="宋体" w:hAnsi="宋体"/>
          <w:color w:val="000000" w:themeColor="text1"/>
          <w:sz w:val="24"/>
          <w:lang w:val="en-US" w:eastAsia="zh-CN"/>
          <w14:textFill>
            <w14:solidFill>
              <w14:schemeClr w14:val="tx1"/>
            </w14:solidFill>
          </w14:textFill>
        </w:rPr>
        <w:t>良好的</w:t>
      </w:r>
      <w:r>
        <w:rPr>
          <w:rFonts w:hint="eastAsia" w:ascii="宋体" w:hAnsi="宋体"/>
          <w:color w:val="000000" w:themeColor="text1"/>
          <w:sz w:val="24"/>
          <w:highlight w:val="none"/>
          <w:lang w:val="en-US" w:eastAsia="zh-CN"/>
          <w14:textFill>
            <w14:solidFill>
              <w14:schemeClr w14:val="tx1"/>
            </w14:solidFill>
          </w14:textFill>
        </w:rPr>
        <w:t>诚信意识、创新意识</w:t>
      </w:r>
      <w:r>
        <w:rPr>
          <w:rFonts w:hint="eastAsia" w:ascii="宋体" w:hAnsi="宋体"/>
          <w:color w:val="000000" w:themeColor="text1"/>
          <w:sz w:val="24"/>
          <w:lang w:val="en-US" w:eastAsia="zh-CN"/>
          <w14:textFill>
            <w14:solidFill>
              <w14:schemeClr w14:val="tx1"/>
            </w14:solidFill>
          </w14:textFill>
        </w:rPr>
        <w:t>以及对未来职业的规划能力</w:t>
      </w:r>
      <w:r>
        <w:rPr>
          <w:rFonts w:hint="eastAsia" w:ascii="宋体" w:hAnsi="宋体"/>
          <w:color w:val="000000" w:themeColor="text1"/>
          <w:sz w:val="24"/>
          <w14:textFill>
            <w14:solidFill>
              <w14:schemeClr w14:val="tx1"/>
            </w14:solidFill>
          </w14:textFill>
        </w:rPr>
        <w:t>。</w:t>
      </w:r>
    </w:p>
    <w:p w14:paraId="1A9E6D77">
      <w:pPr>
        <w:spacing w:line="360" w:lineRule="auto"/>
        <w:ind w:firstLine="482" w:firstLineChars="200"/>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二、测评内容</w:t>
      </w:r>
    </w:p>
    <w:p w14:paraId="7F816C7B">
      <w:pPr>
        <w:spacing w:line="360" w:lineRule="auto"/>
        <w:ind w:firstLine="361" w:firstLineChars="150"/>
        <w:outlineLvl w:val="0"/>
        <w:rPr>
          <w:rFonts w:hint="default" w:ascii="宋体" w:hAnsi="宋体" w:eastAsia="宋体"/>
          <w:b w:val="0"/>
          <w:bCs/>
          <w:color w:val="000000" w:themeColor="text1"/>
          <w:sz w:val="24"/>
          <w:lang w:val="en-US"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一）阅读理解能力</w:t>
      </w:r>
      <w:r>
        <w:rPr>
          <w:rFonts w:hint="eastAsia" w:ascii="宋体" w:hAnsi="宋体"/>
          <w:b w:val="0"/>
          <w:bCs/>
          <w:color w:val="000000" w:themeColor="text1"/>
          <w:sz w:val="24"/>
          <w:lang w:val="en-US" w:eastAsia="zh-CN"/>
          <w14:textFill>
            <w14:solidFill>
              <w14:schemeClr w14:val="tx1"/>
            </w14:solidFill>
          </w14:textFill>
        </w:rPr>
        <w:t>（占15%）</w:t>
      </w:r>
    </w:p>
    <w:p w14:paraId="4E87C62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1.测评</w:t>
      </w:r>
      <w:r>
        <w:rPr>
          <w:rFonts w:hint="eastAsia" w:ascii="宋体" w:hAnsi="宋体"/>
          <w:color w:val="000000" w:themeColor="text1"/>
          <w:sz w:val="24"/>
          <w14:textFill>
            <w14:solidFill>
              <w14:schemeClr w14:val="tx1"/>
            </w14:solidFill>
          </w14:textFill>
        </w:rPr>
        <w:t>考生</w:t>
      </w:r>
      <w:r>
        <w:rPr>
          <w:rFonts w:hint="eastAsia" w:ascii="宋体" w:hAnsi="宋体"/>
          <w:color w:val="000000" w:themeColor="text1"/>
          <w:sz w:val="24"/>
          <w14:textFill>
            <w14:solidFill>
              <w14:schemeClr w14:val="tx1"/>
            </w14:solidFill>
          </w14:textFill>
        </w:rPr>
        <w:t>的片段阅读能力。</w:t>
      </w:r>
    </w:p>
    <w:p w14:paraId="772A195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2.测评考生的主旨概括能力。</w:t>
      </w:r>
    </w:p>
    <w:p w14:paraId="7514DCE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3.测评考生的</w:t>
      </w:r>
      <w:r>
        <w:rPr>
          <w:rFonts w:hint="eastAsia" w:ascii="宋体" w:hAnsi="宋体"/>
          <w:color w:val="000000" w:themeColor="text1"/>
          <w:sz w:val="24"/>
          <w14:textFill>
            <w14:solidFill>
              <w14:schemeClr w14:val="tx1"/>
            </w14:solidFill>
          </w14:textFill>
        </w:rPr>
        <w:t>信息</w:t>
      </w:r>
      <w:r>
        <w:rPr>
          <w:rFonts w:hint="eastAsia" w:ascii="宋体" w:hAnsi="宋体"/>
          <w:color w:val="000000" w:themeColor="text1"/>
          <w:sz w:val="24"/>
          <w:highlight w:val="none"/>
          <w:lang w:val="en-US" w:eastAsia="zh-CN"/>
          <w14:textFill>
            <w14:solidFill>
              <w14:schemeClr w14:val="tx1"/>
            </w14:solidFill>
          </w14:textFill>
        </w:rPr>
        <w:t>查找</w:t>
      </w:r>
      <w:r>
        <w:rPr>
          <w:rFonts w:hint="eastAsia" w:ascii="宋体" w:hAnsi="宋体"/>
          <w:color w:val="000000" w:themeColor="text1"/>
          <w:sz w:val="24"/>
          <w:highlight w:val="none"/>
          <w14:textFill>
            <w14:solidFill>
              <w14:schemeClr w14:val="tx1"/>
            </w14:solidFill>
          </w14:textFill>
        </w:rPr>
        <w:t>和细节</w:t>
      </w:r>
      <w:r>
        <w:rPr>
          <w:rFonts w:hint="eastAsia" w:ascii="宋体" w:hAnsi="宋体"/>
          <w:color w:val="000000" w:themeColor="text1"/>
          <w:sz w:val="24"/>
          <w:highlight w:val="none"/>
          <w:lang w:val="en-US" w:eastAsia="zh-CN"/>
          <w14:textFill>
            <w14:solidFill>
              <w14:schemeClr w14:val="tx1"/>
            </w14:solidFill>
          </w14:textFill>
        </w:rPr>
        <w:t>理解</w:t>
      </w:r>
      <w:r>
        <w:rPr>
          <w:rFonts w:hint="eastAsia" w:ascii="宋体" w:hAnsi="宋体"/>
          <w:color w:val="000000" w:themeColor="text1"/>
          <w:sz w:val="24"/>
          <w14:textFill>
            <w14:solidFill>
              <w14:schemeClr w14:val="tx1"/>
            </w14:solidFill>
          </w14:textFill>
        </w:rPr>
        <w:t>的能力。</w:t>
      </w:r>
    </w:p>
    <w:p w14:paraId="583CA53A">
      <w:pPr>
        <w:spacing w:line="360" w:lineRule="auto"/>
        <w:ind w:firstLine="482" w:firstLineChars="200"/>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判断推理能力</w:t>
      </w:r>
      <w:r>
        <w:rPr>
          <w:rFonts w:hint="eastAsia" w:ascii="宋体" w:hAnsi="宋体"/>
          <w:b w:val="0"/>
          <w:bCs/>
          <w:color w:val="000000" w:themeColor="text1"/>
          <w:sz w:val="24"/>
          <w:lang w:val="en-US" w:eastAsia="zh-CN"/>
          <w14:textFill>
            <w14:solidFill>
              <w14:schemeClr w14:val="tx1"/>
            </w14:solidFill>
          </w14:textFill>
        </w:rPr>
        <w:t>（占20%）</w:t>
      </w:r>
    </w:p>
    <w:p w14:paraId="08BBA967">
      <w:pPr>
        <w:spacing w:line="360" w:lineRule="auto"/>
        <w:ind w:firstLine="480" w:firstLineChars="200"/>
        <w:rPr>
          <w:rStyle w:val="6"/>
          <w:rFonts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1.测评考生的理解和比较能力。</w:t>
      </w:r>
    </w:p>
    <w:p w14:paraId="535D477A">
      <w:pPr>
        <w:spacing w:line="360" w:lineRule="auto"/>
        <w:rPr>
          <w:rStyle w:val="6"/>
          <w:rFonts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 xml:space="preserve">  </w:t>
      </w:r>
      <w:r>
        <w:rPr>
          <w:rStyle w:val="6"/>
          <w:rFonts w:hint="eastAsia" w:ascii="宋体" w:hAnsi="宋体" w:cs="宋体"/>
          <w:b w:val="0"/>
          <w:color w:val="000000" w:themeColor="text1"/>
          <w:sz w:val="24"/>
          <w:shd w:val="clear" w:color="auto" w:fill="FFFFFF"/>
          <w:lang w:val="en-US" w:eastAsia="zh-CN"/>
          <w14:textFill>
            <w14:solidFill>
              <w14:schemeClr w14:val="tx1"/>
            </w14:solidFill>
          </w14:textFill>
        </w:rPr>
        <w:t xml:space="preserve">  </w:t>
      </w:r>
      <w:r>
        <w:rPr>
          <w:rStyle w:val="6"/>
          <w:rFonts w:hint="eastAsia" w:ascii="宋体" w:hAnsi="宋体" w:cs="宋体"/>
          <w:b w:val="0"/>
          <w:color w:val="000000" w:themeColor="text1"/>
          <w:sz w:val="24"/>
          <w:shd w:val="clear" w:color="auto" w:fill="FFFFFF"/>
          <w14:textFill>
            <w14:solidFill>
              <w14:schemeClr w14:val="tx1"/>
            </w14:solidFill>
          </w14:textFill>
        </w:rPr>
        <w:t>2.测评考生的演绎和归纳能力。</w:t>
      </w:r>
    </w:p>
    <w:p w14:paraId="66DE56E7">
      <w:pPr>
        <w:spacing w:line="360" w:lineRule="auto"/>
        <w:rPr>
          <w:rStyle w:val="6"/>
          <w:rFonts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 xml:space="preserve">  </w:t>
      </w:r>
      <w:r>
        <w:rPr>
          <w:rStyle w:val="6"/>
          <w:rFonts w:hint="eastAsia" w:ascii="宋体" w:hAnsi="宋体" w:cs="宋体"/>
          <w:b w:val="0"/>
          <w:color w:val="000000" w:themeColor="text1"/>
          <w:sz w:val="24"/>
          <w:shd w:val="clear" w:color="auto" w:fill="FFFFFF"/>
          <w:lang w:val="en-US" w:eastAsia="zh-CN"/>
          <w14:textFill>
            <w14:solidFill>
              <w14:schemeClr w14:val="tx1"/>
            </w14:solidFill>
          </w14:textFill>
        </w:rPr>
        <w:t xml:space="preserve">  </w:t>
      </w:r>
      <w:r>
        <w:rPr>
          <w:rStyle w:val="6"/>
          <w:rFonts w:hint="eastAsia" w:ascii="宋体" w:hAnsi="宋体" w:cs="宋体"/>
          <w:b w:val="0"/>
          <w:color w:val="000000" w:themeColor="text1"/>
          <w:sz w:val="24"/>
          <w:shd w:val="clear" w:color="auto" w:fill="FFFFFF"/>
          <w14:textFill>
            <w14:solidFill>
              <w14:schemeClr w14:val="tx1"/>
            </w14:solidFill>
          </w14:textFill>
        </w:rPr>
        <w:t>3.测评考生的图形推理能力。</w:t>
      </w:r>
    </w:p>
    <w:p w14:paraId="395A82DA">
      <w:pPr>
        <w:spacing w:line="360" w:lineRule="auto"/>
        <w:rPr>
          <w:rStyle w:val="6"/>
          <w:rFonts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 xml:space="preserve">  </w:t>
      </w:r>
      <w:r>
        <w:rPr>
          <w:rStyle w:val="6"/>
          <w:rFonts w:hint="eastAsia" w:ascii="宋体" w:hAnsi="宋体" w:cs="宋体"/>
          <w:b w:val="0"/>
          <w:color w:val="000000" w:themeColor="text1"/>
          <w:sz w:val="24"/>
          <w:shd w:val="clear" w:color="auto" w:fill="FFFFFF"/>
          <w:lang w:val="en-US" w:eastAsia="zh-CN"/>
          <w14:textFill>
            <w14:solidFill>
              <w14:schemeClr w14:val="tx1"/>
            </w14:solidFill>
          </w14:textFill>
        </w:rPr>
        <w:t xml:space="preserve">  </w:t>
      </w:r>
      <w:r>
        <w:rPr>
          <w:rStyle w:val="6"/>
          <w:rFonts w:hint="eastAsia" w:ascii="宋体" w:hAnsi="宋体" w:cs="宋体"/>
          <w:b w:val="0"/>
          <w:color w:val="000000" w:themeColor="text1"/>
          <w:sz w:val="24"/>
          <w:shd w:val="clear" w:color="auto" w:fill="FFFFFF"/>
          <w14:textFill>
            <w14:solidFill>
              <w14:schemeClr w14:val="tx1"/>
            </w14:solidFill>
          </w14:textFill>
        </w:rPr>
        <w:t>4.测评考生的数字推理能力。</w:t>
      </w:r>
    </w:p>
    <w:p w14:paraId="38F75B78">
      <w:pPr>
        <w:spacing w:line="360" w:lineRule="auto"/>
        <w:ind w:firstLine="480" w:firstLineChars="200"/>
        <w:outlineLvl w:val="0"/>
        <w:rPr>
          <w:rStyle w:val="6"/>
          <w:rFonts w:hint="eastAsia" w:ascii="宋体" w:hAnsi="宋体" w:cs="宋体"/>
          <w:b w:val="0"/>
          <w:color w:val="000000" w:themeColor="text1"/>
          <w:sz w:val="24"/>
          <w:shd w:val="clear" w:color="auto" w:fill="FFFFFF"/>
          <w14:textFill>
            <w14:solidFill>
              <w14:schemeClr w14:val="tx1"/>
            </w14:solidFill>
          </w14:textFill>
        </w:rPr>
      </w:pPr>
      <w:r>
        <w:rPr>
          <w:rStyle w:val="6"/>
          <w:rFonts w:hint="eastAsia" w:ascii="宋体" w:hAnsi="宋体" w:cs="宋体"/>
          <w:b w:val="0"/>
          <w:color w:val="000000" w:themeColor="text1"/>
          <w:sz w:val="24"/>
          <w:shd w:val="clear" w:color="auto" w:fill="FFFFFF"/>
          <w14:textFill>
            <w14:solidFill>
              <w14:schemeClr w14:val="tx1"/>
            </w14:solidFill>
          </w14:textFill>
        </w:rPr>
        <w:t>5.测评考生的定义判断和类比推理能力。</w:t>
      </w:r>
    </w:p>
    <w:p w14:paraId="226A7596">
      <w:pPr>
        <w:spacing w:line="360" w:lineRule="auto"/>
        <w:ind w:firstLine="361" w:firstLineChars="150"/>
        <w:outlineLvl w:val="0"/>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三）语言表达能力</w:t>
      </w:r>
      <w:r>
        <w:rPr>
          <w:rFonts w:hint="eastAsia" w:ascii="宋体" w:hAnsi="宋体"/>
          <w:b w:val="0"/>
          <w:bCs/>
          <w:color w:val="000000" w:themeColor="text1"/>
          <w:sz w:val="24"/>
          <w:lang w:val="en-US" w:eastAsia="zh-CN"/>
          <w14:textFill>
            <w14:solidFill>
              <w14:schemeClr w14:val="tx1"/>
            </w14:solidFill>
          </w14:textFill>
        </w:rPr>
        <w:t>（占10%）</w:t>
      </w:r>
    </w:p>
    <w:p w14:paraId="5E08A292">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测评考生的观点、意图、目的表达能力。</w:t>
      </w:r>
    </w:p>
    <w:p w14:paraId="24CF88EA">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2.测评考生的语言组织能力。</w:t>
      </w:r>
    </w:p>
    <w:p w14:paraId="72D3846A">
      <w:pPr>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四</w:t>
      </w:r>
      <w:r>
        <w:rPr>
          <w:rFonts w:hint="eastAsia" w:ascii="宋体" w:hAnsi="宋体"/>
          <w:b/>
          <w:bCs/>
          <w:color w:val="000000" w:themeColor="text1"/>
          <w:sz w:val="24"/>
          <w14:textFill>
            <w14:solidFill>
              <w14:schemeClr w14:val="tx1"/>
            </w14:solidFill>
          </w14:textFill>
        </w:rPr>
        <w:t>）常识判断能力</w:t>
      </w:r>
      <w:r>
        <w:rPr>
          <w:rFonts w:hint="eastAsia" w:ascii="宋体" w:hAnsi="宋体"/>
          <w:b w:val="0"/>
          <w:bCs/>
          <w:color w:val="000000" w:themeColor="text1"/>
          <w:sz w:val="24"/>
          <w:lang w:val="en-US" w:eastAsia="zh-CN"/>
          <w14:textFill>
            <w14:solidFill>
              <w14:schemeClr w14:val="tx1"/>
            </w14:solidFill>
          </w14:textFill>
        </w:rPr>
        <w:t>（占20%）</w:t>
      </w:r>
    </w:p>
    <w:p w14:paraId="6F478356">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1.测评考生的政治经济方面的常识。</w:t>
      </w:r>
    </w:p>
    <w:p w14:paraId="7927AA7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2.测评考生的历史和文化常识。</w:t>
      </w:r>
    </w:p>
    <w:p w14:paraId="205A970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3.测评考生的地理、自然和科技方面的常识。</w:t>
      </w:r>
    </w:p>
    <w:p w14:paraId="11FD3A8C">
      <w:pPr>
        <w:spacing w:line="360" w:lineRule="auto"/>
        <w:ind w:firstLine="361" w:firstLineChars="150"/>
        <w:outlineLvl w:val="0"/>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（五）大数据与会计岗位潜力</w:t>
      </w:r>
      <w:r>
        <w:rPr>
          <w:rFonts w:hint="eastAsia" w:ascii="宋体" w:hAnsi="宋体"/>
          <w:b w:val="0"/>
          <w:bCs/>
          <w:color w:val="000000" w:themeColor="text1"/>
          <w:sz w:val="24"/>
          <w:lang w:val="en-US" w:eastAsia="zh-CN"/>
          <w14:textFill>
            <w14:solidFill>
              <w14:schemeClr w14:val="tx1"/>
            </w14:solidFill>
          </w14:textFill>
        </w:rPr>
        <w:t>（占20%）</w:t>
      </w:r>
    </w:p>
    <w:p w14:paraId="61B5F54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1.测评考生对目前</w:t>
      </w:r>
      <w:r>
        <w:rPr>
          <w:rFonts w:hint="eastAsia" w:ascii="宋体" w:hAnsi="宋体"/>
          <w:color w:val="000000" w:themeColor="text1"/>
          <w:sz w:val="24"/>
          <w:lang w:val="en-US" w:eastAsia="zh-CN"/>
          <w14:textFill>
            <w14:solidFill>
              <w14:schemeClr w14:val="tx1"/>
            </w14:solidFill>
          </w14:textFill>
        </w:rPr>
        <w:t>会计职业</w:t>
      </w:r>
      <w:r>
        <w:rPr>
          <w:rFonts w:hint="eastAsia" w:ascii="宋体" w:hAnsi="宋体"/>
          <w:color w:val="000000" w:themeColor="text1"/>
          <w:sz w:val="24"/>
          <w14:textFill>
            <w14:solidFill>
              <w14:schemeClr w14:val="tx1"/>
            </w14:solidFill>
          </w14:textFill>
        </w:rPr>
        <w:t>形势的了解程度。</w:t>
      </w:r>
    </w:p>
    <w:p w14:paraId="5DC20EF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2.通过对</w:t>
      </w:r>
      <w:r>
        <w:rPr>
          <w:rFonts w:hint="eastAsia" w:ascii="宋体" w:hAnsi="宋体"/>
          <w:color w:val="000000" w:themeColor="text1"/>
          <w:sz w:val="24"/>
          <w:lang w:val="en-US" w:eastAsia="zh-CN"/>
          <w14:textFill>
            <w14:solidFill>
              <w14:schemeClr w14:val="tx1"/>
            </w14:solidFill>
          </w14:textFill>
        </w:rPr>
        <w:t>会计</w:t>
      </w:r>
      <w:r>
        <w:rPr>
          <w:rFonts w:hint="eastAsia" w:ascii="宋体" w:hAnsi="宋体"/>
          <w:color w:val="000000" w:themeColor="text1"/>
          <w:sz w:val="24"/>
          <w14:textFill>
            <w14:solidFill>
              <w14:schemeClr w14:val="tx1"/>
            </w14:solidFill>
          </w14:textFill>
        </w:rPr>
        <w:t>职业相关的案例或者问题进行判断、分析，测评考生在职业情景中的理解能力、分析能力、判断能力。</w:t>
      </w:r>
    </w:p>
    <w:p w14:paraId="2510529A">
      <w:pPr>
        <w:spacing w:line="360" w:lineRule="auto"/>
        <w:ind w:firstLine="482" w:firstLineChars="200"/>
        <w:rPr>
          <w:rFonts w:ascii="宋体"/>
          <w:b w:val="0"/>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六</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与专业相关的其他能力</w:t>
      </w:r>
      <w:r>
        <w:rPr>
          <w:rFonts w:hint="eastAsia" w:ascii="宋体" w:hAnsi="宋体"/>
          <w:b w:val="0"/>
          <w:bCs/>
          <w:color w:val="000000" w:themeColor="text1"/>
          <w:sz w:val="24"/>
          <w14:textFill>
            <w14:solidFill>
              <w14:schemeClr w14:val="tx1"/>
            </w14:solidFill>
          </w14:textFill>
        </w:rPr>
        <w:t>（占</w:t>
      </w:r>
      <w:r>
        <w:rPr>
          <w:rFonts w:hint="eastAsia" w:ascii="宋体" w:hAnsi="宋体"/>
          <w:b w:val="0"/>
          <w:bCs/>
          <w:color w:val="000000" w:themeColor="text1"/>
          <w:sz w:val="24"/>
          <w:lang w:val="en-US" w:eastAsia="zh-CN"/>
          <w14:textFill>
            <w14:solidFill>
              <w14:schemeClr w14:val="tx1"/>
            </w14:solidFill>
          </w14:textFill>
        </w:rPr>
        <w:t>15</w:t>
      </w:r>
      <w:r>
        <w:rPr>
          <w:rFonts w:hint="eastAsia" w:ascii="宋体" w:hAnsi="宋体"/>
          <w:b w:val="0"/>
          <w:bCs/>
          <w:color w:val="000000" w:themeColor="text1"/>
          <w:sz w:val="24"/>
          <w14:textFill>
            <w14:solidFill>
              <w14:schemeClr w14:val="tx1"/>
            </w14:solidFill>
          </w14:textFill>
        </w:rPr>
        <w:t>%）</w:t>
      </w:r>
    </w:p>
    <w:p w14:paraId="29B3AEE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测评考生对大数据与会计相关岗位的了解，要求考生从</w:t>
      </w:r>
      <w:r>
        <w:rPr>
          <w:rFonts w:hint="eastAsia" w:ascii="宋体" w:hAnsi="宋体"/>
          <w:color w:val="000000" w:themeColor="text1"/>
          <w:sz w:val="24"/>
          <w14:textFill>
            <w14:solidFill>
              <w14:schemeClr w14:val="tx1"/>
            </w14:solidFill>
          </w14:textFill>
        </w:rPr>
        <w:t>自我分析</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职业分析</w:t>
      </w:r>
      <w:r>
        <w:rPr>
          <w:rFonts w:hint="eastAsia" w:ascii="宋体" w:hAnsi="宋体"/>
          <w:color w:val="000000" w:themeColor="text1"/>
          <w:sz w:val="24"/>
          <w:lang w:val="en-US" w:eastAsia="zh-CN"/>
          <w14:textFill>
            <w14:solidFill>
              <w14:schemeClr w14:val="tx1"/>
            </w14:solidFill>
          </w14:textFill>
        </w:rPr>
        <w:t>和</w:t>
      </w:r>
      <w:r>
        <w:rPr>
          <w:rFonts w:hint="eastAsia" w:ascii="宋体" w:hAnsi="宋体"/>
          <w:color w:val="000000" w:themeColor="text1"/>
          <w:sz w:val="24"/>
          <w14:textFill>
            <w14:solidFill>
              <w14:schemeClr w14:val="tx1"/>
            </w14:solidFill>
          </w14:textFill>
        </w:rPr>
        <w:t>职业定位</w:t>
      </w:r>
      <w:r>
        <w:rPr>
          <w:rFonts w:hint="eastAsia" w:ascii="宋体" w:hAnsi="宋体"/>
          <w:color w:val="000000" w:themeColor="text1"/>
          <w:sz w:val="24"/>
          <w:lang w:val="en-US" w:eastAsia="zh-CN"/>
          <w14:textFill>
            <w14:solidFill>
              <w14:schemeClr w14:val="tx1"/>
            </w14:solidFill>
          </w14:textFill>
        </w:rPr>
        <w:t>等维度，做出合理职业生涯规划。</w:t>
      </w:r>
    </w:p>
    <w:p w14:paraId="697DD2B3">
      <w:pPr>
        <w:rPr>
          <w:color w:val="000000" w:themeColor="text1"/>
          <w14:textFill>
            <w14:solidFill>
              <w14:schemeClr w14:val="tx1"/>
            </w14:solidFill>
          </w14:textFill>
        </w:rPr>
      </w:pP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DF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F34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EF34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303090"/>
    <w:rsid w:val="000705B3"/>
    <w:rsid w:val="001B76AF"/>
    <w:rsid w:val="00303090"/>
    <w:rsid w:val="003F3C0D"/>
    <w:rsid w:val="005419B7"/>
    <w:rsid w:val="007951B7"/>
    <w:rsid w:val="013B4944"/>
    <w:rsid w:val="028265A2"/>
    <w:rsid w:val="033953A7"/>
    <w:rsid w:val="03646DA0"/>
    <w:rsid w:val="05810E04"/>
    <w:rsid w:val="05983768"/>
    <w:rsid w:val="07284187"/>
    <w:rsid w:val="0A0E5ECA"/>
    <w:rsid w:val="0A481E7F"/>
    <w:rsid w:val="0D61393B"/>
    <w:rsid w:val="11E601E8"/>
    <w:rsid w:val="15542020"/>
    <w:rsid w:val="168B1A72"/>
    <w:rsid w:val="19845401"/>
    <w:rsid w:val="1C4C3A51"/>
    <w:rsid w:val="1CB743E2"/>
    <w:rsid w:val="1E422506"/>
    <w:rsid w:val="2A5F0D61"/>
    <w:rsid w:val="2BEC421F"/>
    <w:rsid w:val="2CCD49DE"/>
    <w:rsid w:val="2DEE4968"/>
    <w:rsid w:val="2FF92EB3"/>
    <w:rsid w:val="30517430"/>
    <w:rsid w:val="34B41D3C"/>
    <w:rsid w:val="38D71FDB"/>
    <w:rsid w:val="3A2B484E"/>
    <w:rsid w:val="3BAE1BDB"/>
    <w:rsid w:val="3BD01B2A"/>
    <w:rsid w:val="3EC46D9E"/>
    <w:rsid w:val="3F473ED8"/>
    <w:rsid w:val="404B79F8"/>
    <w:rsid w:val="45232CF2"/>
    <w:rsid w:val="497E1148"/>
    <w:rsid w:val="4F7D5DFD"/>
    <w:rsid w:val="502D4642"/>
    <w:rsid w:val="515B1A65"/>
    <w:rsid w:val="517573F5"/>
    <w:rsid w:val="528943B0"/>
    <w:rsid w:val="535A425A"/>
    <w:rsid w:val="53CC1436"/>
    <w:rsid w:val="54033947"/>
    <w:rsid w:val="56AB0D99"/>
    <w:rsid w:val="56B04601"/>
    <w:rsid w:val="57A23F4A"/>
    <w:rsid w:val="585C0BC0"/>
    <w:rsid w:val="58640EBA"/>
    <w:rsid w:val="5CA218BC"/>
    <w:rsid w:val="5EBD101F"/>
    <w:rsid w:val="61A7406E"/>
    <w:rsid w:val="61D966EB"/>
    <w:rsid w:val="638E3095"/>
    <w:rsid w:val="6401649C"/>
    <w:rsid w:val="646D58E0"/>
    <w:rsid w:val="66441AE8"/>
    <w:rsid w:val="66F26570"/>
    <w:rsid w:val="6736645D"/>
    <w:rsid w:val="67492634"/>
    <w:rsid w:val="68A34199"/>
    <w:rsid w:val="68C47A98"/>
    <w:rsid w:val="6C101972"/>
    <w:rsid w:val="6DEB54D2"/>
    <w:rsid w:val="705931BC"/>
    <w:rsid w:val="745953BA"/>
    <w:rsid w:val="74716D26"/>
    <w:rsid w:val="775274E2"/>
    <w:rsid w:val="779E6886"/>
    <w:rsid w:val="78A4385C"/>
    <w:rsid w:val="79085B30"/>
    <w:rsid w:val="7B260580"/>
    <w:rsid w:val="7C3E1BE4"/>
    <w:rsid w:val="7D5176F5"/>
    <w:rsid w:val="7F0C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autoRedefine/>
    <w:semiHidden/>
    <w:qFormat/>
    <w:uiPriority w:val="99"/>
    <w:rPr>
      <w:rFonts w:ascii="Times New Roman" w:hAnsi="Times New Roman" w:cs="Times New Roman"/>
      <w:kern w:val="2"/>
      <w:sz w:val="18"/>
      <w:szCs w:val="18"/>
    </w:rPr>
  </w:style>
  <w:style w:type="character" w:customStyle="1" w:styleId="8">
    <w:name w:val="页脚 Char"/>
    <w:basedOn w:val="5"/>
    <w:link w:val="2"/>
    <w:autoRedefine/>
    <w:semiHidden/>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956</Characters>
  <Lines>14</Lines>
  <Paragraphs>3</Paragraphs>
  <TotalTime>14</TotalTime>
  <ScaleCrop>false</ScaleCrop>
  <LinksUpToDate>false</LinksUpToDate>
  <CharactersWithSpaces>1029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2021-02-17T03:50:00Z</dcterms:created>
  <dc:creator>58583</dc:creator>
  <cp:lastModifiedBy>范国平</cp:lastModifiedBy>
  <dcterms:modified xsi:type="dcterms:W3CDTF">2026-03-09T06:26:58Z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C3DBB0C687624F14A7825E12D79F992F_13</vt:lpwstr>
  </property>
  <property fmtid="{D5CDD505-2E9C-101B-9397-08002B2CF9AE}" pid="4" name="KSOTemplateDocerSaveRecord">
    <vt:lpwstr>eyJoZGlkIjoiOGI4YzdiYThhOWVhMDU1MjdmZjllMDM5MmM4NGVjZWUiLCJ1c2VySWQiOiIzNDc3MDkzNTAifQ==</vt:lpwstr>
  </property>
</Properties>
</file>