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AA37">
      <w:pPr>
        <w:spacing w:line="360" w:lineRule="auto"/>
        <w:jc w:val="center"/>
        <w:rPr>
          <w:rFonts w:ascii="宋体"/>
          <w:b/>
          <w:color w:val="000000" w:themeColor="text1"/>
          <w:sz w:val="32"/>
          <w:szCs w:val="32"/>
          <w14:textFill>
            <w14:solidFill>
              <w14:schemeClr w14:val="tx1"/>
            </w14:solidFill>
          </w14:textFill>
        </w:rPr>
      </w:pPr>
      <w:bookmarkStart w:id="0" w:name="_GoBack"/>
      <w:r>
        <w:rPr>
          <w:color w:val="000000" w:themeColor="text1"/>
          <w14:textFill>
            <w14:solidFill>
              <w14:schemeClr w14:val="tx1"/>
            </w14:solidFill>
          </w14:textFill>
        </w:rPr>
        <w:drawing>
          <wp:anchor distT="0" distB="0" distL="0" distR="0" simplePos="0" relativeHeight="251660288" behindDoc="0" locked="0" layoutInCell="1" allowOverlap="1">
            <wp:simplePos x="0" y="0"/>
            <wp:positionH relativeFrom="column">
              <wp:posOffset>1800225</wp:posOffset>
            </wp:positionH>
            <wp:positionV relativeFrom="paragraph">
              <wp:posOffset>-25400</wp:posOffset>
            </wp:positionV>
            <wp:extent cx="1647190" cy="387985"/>
            <wp:effectExtent l="0" t="0" r="3810" b="5715"/>
            <wp:wrapNone/>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5" cstate="print"/>
                    <a:srcRect/>
                    <a:stretch>
                      <a:fillRect/>
                    </a:stretch>
                  </pic:blipFill>
                  <pic:spPr>
                    <a:xfrm>
                      <a:off x="0" y="0"/>
                      <a:ext cx="1647190" cy="387985"/>
                    </a:xfrm>
                    <a:prstGeom prst="rect">
                      <a:avLst/>
                    </a:prstGeom>
                    <a:ln>
                      <a:noFill/>
                    </a:ln>
                  </pic:spPr>
                </pic:pic>
              </a:graphicData>
            </a:graphic>
          </wp:anchor>
        </w:drawing>
      </w:r>
    </w:p>
    <w:p w14:paraId="47BC0151">
      <w:pPr>
        <w:spacing w:line="360" w:lineRule="auto"/>
        <w:jc w:val="center"/>
        <w:rPr>
          <w:rFonts w:hint="eastAsia" w:ascii="宋体" w:hAnsi="宋体"/>
          <w:b/>
          <w:color w:val="000000" w:themeColor="text1"/>
          <w:sz w:val="21"/>
          <w:szCs w:val="21"/>
          <w14:textFill>
            <w14:solidFill>
              <w14:schemeClr w14:val="tx1"/>
            </w14:solidFill>
          </w14:textFill>
        </w:rPr>
      </w:pPr>
    </w:p>
    <w:p w14:paraId="2AE0B7F4">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大数据与财务管理</w:t>
      </w:r>
      <w:r>
        <w:rPr>
          <w:rFonts w:hint="eastAsia" w:ascii="宋体" w:hAnsi="宋体"/>
          <w:b/>
          <w:color w:val="000000" w:themeColor="text1"/>
          <w:sz w:val="32"/>
          <w:szCs w:val="32"/>
          <w:lang w:val="en-US" w:eastAsia="zh-CN"/>
          <w14:textFill>
            <w14:solidFill>
              <w14:schemeClr w14:val="tx1"/>
            </w14:solidFill>
          </w14:textFill>
        </w:rPr>
        <w:t>专业</w:t>
      </w:r>
      <w:r>
        <w:rPr>
          <w:rFonts w:hint="eastAsia" w:ascii="宋体" w:hAnsi="宋体"/>
          <w:b/>
          <w:color w:val="000000" w:themeColor="text1"/>
          <w:sz w:val="32"/>
          <w:szCs w:val="32"/>
          <w14:textFill>
            <w14:solidFill>
              <w14:schemeClr w14:val="tx1"/>
            </w14:solidFill>
          </w14:textFill>
        </w:rPr>
        <w:t>（普通高考）</w:t>
      </w:r>
    </w:p>
    <w:p w14:paraId="09FDD96B">
      <w:pPr>
        <w:spacing w:line="360" w:lineRule="auto"/>
        <w:jc w:val="center"/>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202</w:t>
      </w:r>
      <w:r>
        <w:rPr>
          <w:rFonts w:hint="eastAsia" w:ascii="宋体" w:hAnsi="宋体"/>
          <w:b/>
          <w:color w:val="000000" w:themeColor="text1"/>
          <w:sz w:val="32"/>
          <w:szCs w:val="32"/>
          <w14:textFill>
            <w14:solidFill>
              <w14:schemeClr w14:val="tx1"/>
            </w14:solidFill>
          </w14:textFill>
        </w:rPr>
        <w:t>6年高职提前招生综合素质测评大纲</w:t>
      </w:r>
    </w:p>
    <w:p w14:paraId="6A8AA62D">
      <w:pPr>
        <w:spacing w:line="360" w:lineRule="auto"/>
        <w:rPr>
          <w:rFonts w:ascii="宋体"/>
          <w:color w:val="000000" w:themeColor="text1"/>
          <w:sz w:val="24"/>
          <w14:textFill>
            <w14:solidFill>
              <w14:schemeClr w14:val="tx1"/>
            </w14:solidFill>
          </w14:textFill>
        </w:rPr>
      </w:pPr>
    </w:p>
    <w:p w14:paraId="6415F10D">
      <w:pPr>
        <w:spacing w:line="360" w:lineRule="auto"/>
        <w:ind w:firstLine="482" w:firstLineChars="200"/>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一、测评目标</w:t>
      </w:r>
    </w:p>
    <w:p w14:paraId="58B05942">
      <w:pPr>
        <w:spacing w:line="360" w:lineRule="auto"/>
        <w:ind w:firstLine="480" w:firstLineChars="200"/>
        <w:rPr>
          <w:rFonts w:hint="eastAsia" w:ascii="宋体" w:hAnsi="宋体" w:eastAsia="宋体" w:cs="Times New Roman"/>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综合素质测评</w:t>
      </w:r>
      <w:r>
        <w:rPr>
          <w:rFonts w:hint="eastAsia" w:ascii="宋体" w:hAnsi="宋体"/>
          <w:color w:val="000000" w:themeColor="text1"/>
          <w:sz w:val="24"/>
          <w14:textFill>
            <w14:solidFill>
              <w14:schemeClr w14:val="tx1"/>
            </w14:solidFill>
          </w14:textFill>
        </w:rPr>
        <w:t>主要</w:t>
      </w:r>
      <w:r>
        <w:rPr>
          <w:rFonts w:hint="eastAsia" w:ascii="宋体" w:hAnsi="宋体" w:eastAsia="宋体" w:cs="Times New Roman"/>
          <w:color w:val="000000" w:themeColor="text1"/>
          <w:sz w:val="24"/>
          <w14:textFill>
            <w14:solidFill>
              <w14:schemeClr w14:val="tx1"/>
            </w14:solidFill>
          </w14:textFill>
        </w:rPr>
        <w:t>考查考生的人文、思想道德素质和心理素质，测评考生的知识掌握程度、学习能力和大数据与财务管理专业的综合技能等。具体测评内容包括以下几个方面：</w:t>
      </w:r>
    </w:p>
    <w:p w14:paraId="39A9B2B5">
      <w:pPr>
        <w:spacing w:line="360" w:lineRule="auto"/>
        <w:ind w:firstLine="482" w:firstLineChars="200"/>
        <w:rPr>
          <w:rFonts w:asci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（一）阅读理解能力</w:t>
      </w:r>
    </w:p>
    <w:p w14:paraId="4CCE4FE7">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测查</w:t>
      </w:r>
      <w:r>
        <w:rPr>
          <w:rFonts w:hint="eastAsia" w:ascii="宋体" w:hAnsi="宋体"/>
          <w:color w:val="000000" w:themeColor="text1"/>
          <w:sz w:val="24"/>
          <w:highlight w:val="none"/>
          <w:lang w:val="en-US" w:eastAsia="zh-CN"/>
          <w14:textFill>
            <w14:solidFill>
              <w14:schemeClr w14:val="tx1"/>
            </w14:solidFill>
          </w14:textFill>
        </w:rPr>
        <w:t>考生</w:t>
      </w:r>
      <w:r>
        <w:rPr>
          <w:rFonts w:hint="eastAsia" w:ascii="宋体" w:hAnsi="宋体"/>
          <w:color w:val="000000" w:themeColor="text1"/>
          <w:sz w:val="24"/>
          <w14:textFill>
            <w14:solidFill>
              <w14:schemeClr w14:val="tx1"/>
            </w14:solidFill>
          </w14:textFill>
        </w:rPr>
        <w:t>理解</w:t>
      </w:r>
      <w:r>
        <w:rPr>
          <w:rFonts w:hint="eastAsia" w:ascii="宋体" w:hAnsi="宋体"/>
          <w:color w:val="000000" w:themeColor="text1"/>
          <w:sz w:val="24"/>
          <w:highlight w:val="none"/>
          <w14:textFill>
            <w14:solidFill>
              <w14:schemeClr w14:val="tx1"/>
            </w14:solidFill>
          </w14:textFill>
        </w:rPr>
        <w:t>片段阅读</w:t>
      </w:r>
      <w:r>
        <w:rPr>
          <w:rFonts w:hint="eastAsia" w:ascii="宋体" w:hAnsi="宋体"/>
          <w:color w:val="000000" w:themeColor="text1"/>
          <w:sz w:val="24"/>
          <w14:textFill>
            <w14:solidFill>
              <w14:schemeClr w14:val="tx1"/>
            </w14:solidFill>
          </w14:textFill>
        </w:rPr>
        <w:t>的观点和观念的能力，能准确地判断作者的态度、意图和目的，能够理解一段话的中心思想和主旨。</w:t>
      </w:r>
    </w:p>
    <w:p w14:paraId="44EC8864">
      <w:pPr>
        <w:spacing w:line="360" w:lineRule="auto"/>
        <w:ind w:firstLine="482" w:firstLineChars="200"/>
        <w:rPr>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hint="eastAsia"/>
          <w:b/>
          <w:bCs/>
          <w:color w:val="000000" w:themeColor="text1"/>
          <w:sz w:val="24"/>
          <w14:textFill>
            <w14:solidFill>
              <w14:schemeClr w14:val="tx1"/>
            </w14:solidFill>
          </w14:textFill>
        </w:rPr>
        <w:t>判断推理能力</w:t>
      </w:r>
    </w:p>
    <w:p w14:paraId="5DF0F053">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测查考生对各种事物关系的分析推理能力，涉及对图形、语词概念和文字材料的理解、比较、组合、演绎和归纳等。</w:t>
      </w:r>
    </w:p>
    <w:p w14:paraId="4AAE5954">
      <w:pPr>
        <w:spacing w:line="360" w:lineRule="auto"/>
        <w:ind w:firstLine="482" w:firstLineChars="200"/>
        <w:rPr>
          <w:rFonts w:asci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（三）语言表达能力</w:t>
      </w:r>
    </w:p>
    <w:p w14:paraId="7D57314B">
      <w:pPr>
        <w:spacing w:line="360" w:lineRule="auto"/>
        <w:ind w:left="479" w:leftChars="228" w:firstLine="0" w:firstLineChars="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测查考生清楚地表达自己的思想、观点，以及分析、解释、叙述事情的能力。</w:t>
      </w:r>
      <w:r>
        <w:rPr>
          <w:rFonts w:hint="eastAsia" w:ascii="宋体" w:hAnsi="宋体"/>
          <w:b/>
          <w:bCs/>
          <w:color w:val="000000" w:themeColor="text1"/>
          <w:sz w:val="24"/>
          <w14:textFill>
            <w14:solidFill>
              <w14:schemeClr w14:val="tx1"/>
            </w14:solidFill>
          </w14:textFill>
        </w:rPr>
        <w:t>（四）常识判断能力</w:t>
      </w:r>
    </w:p>
    <w:p w14:paraId="150B0B0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测查考生应知应会的基本知识以及运用这些知识进行分析判断的基本能力，重点测查对国情社情的了解程度、综合管理基本素质等，内容涉及政治、经济、法律、历史、文化、地理、环境、自然、科技等方面。</w:t>
      </w:r>
    </w:p>
    <w:p w14:paraId="63B3AE7D">
      <w:pPr>
        <w:spacing w:line="360" w:lineRule="auto"/>
        <w:ind w:firstLine="482" w:firstLineChars="200"/>
        <w:rPr>
          <w:rFonts w:asci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（五）财务管理岗位潜力</w:t>
      </w:r>
    </w:p>
    <w:p w14:paraId="7F39D729">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测查考生对</w:t>
      </w:r>
      <w:r>
        <w:rPr>
          <w:rFonts w:hint="eastAsia" w:ascii="宋体" w:hAnsi="宋体"/>
          <w:color w:val="000000" w:themeColor="text1"/>
          <w:sz w:val="24"/>
          <w:lang w:val="en-US" w:eastAsia="zh-CN"/>
          <w14:textFill>
            <w14:solidFill>
              <w14:schemeClr w14:val="tx1"/>
            </w14:solidFill>
          </w14:textFill>
        </w:rPr>
        <w:t>大数据与</w:t>
      </w:r>
      <w:r>
        <w:rPr>
          <w:rFonts w:hint="eastAsia" w:ascii="宋体" w:hAnsi="宋体"/>
          <w:color w:val="000000" w:themeColor="text1"/>
          <w:sz w:val="24"/>
          <w14:textFill>
            <w14:solidFill>
              <w14:schemeClr w14:val="tx1"/>
            </w14:solidFill>
          </w14:textFill>
        </w:rPr>
        <w:t>财务管理专业及相关岗位的认知程度，要求了解</w:t>
      </w:r>
      <w:r>
        <w:rPr>
          <w:rFonts w:hint="eastAsia" w:ascii="宋体" w:hAnsi="宋体"/>
          <w:color w:val="000000" w:themeColor="text1"/>
          <w:sz w:val="24"/>
          <w:lang w:val="en-US" w:eastAsia="zh-CN"/>
          <w14:textFill>
            <w14:solidFill>
              <w14:schemeClr w14:val="tx1"/>
            </w14:solidFill>
          </w14:textFill>
        </w:rPr>
        <w:t>企业数字经济应用场景及财会职业发展趋势</w:t>
      </w:r>
      <w:r>
        <w:rPr>
          <w:rFonts w:hint="eastAsia" w:ascii="宋体" w:hAnsi="宋体"/>
          <w:color w:val="000000" w:themeColor="text1"/>
          <w:sz w:val="24"/>
          <w14:textFill>
            <w14:solidFill>
              <w14:schemeClr w14:val="tx1"/>
            </w14:solidFill>
          </w14:textFill>
        </w:rPr>
        <w:t>，具备一定的财务核算思维和意识。</w:t>
      </w:r>
    </w:p>
    <w:p w14:paraId="6900335B">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（六）与专业相关的其他能力</w:t>
      </w:r>
    </w:p>
    <w:p w14:paraId="0B40E3F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要求考生具备良好的诚信意识、创新意识以及对未来职业的规划能力。</w:t>
      </w:r>
    </w:p>
    <w:p w14:paraId="53762B82">
      <w:pPr>
        <w:spacing w:line="360" w:lineRule="auto"/>
        <w:ind w:firstLine="482" w:firstLineChars="200"/>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二、测评内容</w:t>
      </w:r>
    </w:p>
    <w:p w14:paraId="776FFD94">
      <w:pPr>
        <w:spacing w:line="360" w:lineRule="auto"/>
        <w:ind w:firstLine="482" w:firstLineChars="200"/>
        <w:outlineLvl w:val="0"/>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（一）阅读理解能力</w:t>
      </w:r>
      <w:r>
        <w:rPr>
          <w:rFonts w:hint="eastAsia" w:ascii="宋体" w:hAnsi="宋体"/>
          <w:bCs/>
          <w:color w:val="000000" w:themeColor="text1"/>
          <w:sz w:val="24"/>
          <w14:textFill>
            <w14:solidFill>
              <w14:schemeClr w14:val="tx1"/>
            </w14:solidFill>
          </w14:textFill>
        </w:rPr>
        <w:t>（占15%）</w:t>
      </w:r>
    </w:p>
    <w:p w14:paraId="457B835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1.测评考生的片段阅读能力。</w:t>
      </w:r>
    </w:p>
    <w:p w14:paraId="5B8A6FB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2.测评考生的主旨概括能力。</w:t>
      </w:r>
    </w:p>
    <w:p w14:paraId="38ECCB3E">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3.测评考生的</w:t>
      </w:r>
      <w:r>
        <w:rPr>
          <w:rFonts w:hint="eastAsia" w:ascii="宋体" w:hAnsi="宋体"/>
          <w:color w:val="000000" w:themeColor="text1"/>
          <w:sz w:val="24"/>
          <w:highlight w:val="none"/>
          <w14:textFill>
            <w14:solidFill>
              <w14:schemeClr w14:val="tx1"/>
            </w14:solidFill>
          </w14:textFill>
        </w:rPr>
        <w:t>信息</w:t>
      </w:r>
      <w:r>
        <w:rPr>
          <w:rFonts w:hint="eastAsia" w:ascii="宋体" w:hAnsi="宋体"/>
          <w:color w:val="000000" w:themeColor="text1"/>
          <w:sz w:val="24"/>
          <w:highlight w:val="none"/>
          <w:lang w:val="en-US" w:eastAsia="zh-CN"/>
          <w14:textFill>
            <w14:solidFill>
              <w14:schemeClr w14:val="tx1"/>
            </w14:solidFill>
          </w14:textFill>
        </w:rPr>
        <w:t>查找</w:t>
      </w:r>
      <w:r>
        <w:rPr>
          <w:rFonts w:hint="eastAsia" w:ascii="宋体" w:hAnsi="宋体"/>
          <w:color w:val="000000" w:themeColor="text1"/>
          <w:sz w:val="24"/>
          <w:highlight w:val="none"/>
          <w14:textFill>
            <w14:solidFill>
              <w14:schemeClr w14:val="tx1"/>
            </w14:solidFill>
          </w14:textFill>
        </w:rPr>
        <w:t>和细节</w:t>
      </w:r>
      <w:r>
        <w:rPr>
          <w:rFonts w:hint="eastAsia" w:ascii="宋体" w:hAnsi="宋体"/>
          <w:color w:val="000000" w:themeColor="text1"/>
          <w:sz w:val="24"/>
          <w:highlight w:val="none"/>
          <w:lang w:val="en-US" w:eastAsia="zh-CN"/>
          <w14:textFill>
            <w14:solidFill>
              <w14:schemeClr w14:val="tx1"/>
            </w14:solidFill>
          </w14:textFill>
        </w:rPr>
        <w:t>理解</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14:textFill>
            <w14:solidFill>
              <w14:schemeClr w14:val="tx1"/>
            </w14:solidFill>
          </w14:textFill>
        </w:rPr>
        <w:t>能力。</w:t>
      </w:r>
    </w:p>
    <w:p w14:paraId="089EA955">
      <w:pPr>
        <w:spacing w:line="360" w:lineRule="auto"/>
        <w:ind w:firstLine="482" w:firstLineChars="200"/>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（二）判断推理能力</w:t>
      </w:r>
      <w:r>
        <w:rPr>
          <w:rFonts w:hint="eastAsia" w:ascii="宋体" w:hAnsi="宋体"/>
          <w:bCs/>
          <w:color w:val="000000" w:themeColor="text1"/>
          <w:sz w:val="24"/>
          <w14:textFill>
            <w14:solidFill>
              <w14:schemeClr w14:val="tx1"/>
            </w14:solidFill>
          </w14:textFill>
        </w:rPr>
        <w:t>（占20%）</w:t>
      </w:r>
    </w:p>
    <w:p w14:paraId="0B19C5BF">
      <w:pPr>
        <w:spacing w:line="360" w:lineRule="auto"/>
        <w:ind w:firstLine="480" w:firstLineChars="200"/>
        <w:rPr>
          <w:rStyle w:val="6"/>
          <w:rFonts w:hint="eastAsia"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1.测评考生的理解和比较能力。</w:t>
      </w:r>
    </w:p>
    <w:p w14:paraId="18842032">
      <w:pPr>
        <w:spacing w:line="360" w:lineRule="auto"/>
        <w:ind w:firstLine="480" w:firstLineChars="200"/>
        <w:rPr>
          <w:rStyle w:val="6"/>
          <w:rFonts w:hint="eastAsia"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2.测评考生的演绎和归纳能力。</w:t>
      </w:r>
    </w:p>
    <w:p w14:paraId="5E6DE688">
      <w:pPr>
        <w:spacing w:line="360" w:lineRule="auto"/>
        <w:ind w:firstLine="480" w:firstLineChars="200"/>
        <w:rPr>
          <w:rStyle w:val="6"/>
          <w:rFonts w:hint="eastAsia"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3.测评考生的图形推理能力。</w:t>
      </w:r>
    </w:p>
    <w:p w14:paraId="4221C921">
      <w:pPr>
        <w:spacing w:line="360" w:lineRule="auto"/>
        <w:ind w:firstLine="480" w:firstLineChars="200"/>
        <w:rPr>
          <w:rStyle w:val="6"/>
          <w:rFonts w:hint="eastAsia"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4.测评考生的数字推理能力。</w:t>
      </w:r>
    </w:p>
    <w:p w14:paraId="6047B65A">
      <w:pPr>
        <w:spacing w:line="360" w:lineRule="auto"/>
        <w:ind w:firstLine="480" w:firstLineChars="200"/>
        <w:rPr>
          <w:rStyle w:val="6"/>
          <w:rFonts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5.测评考生的定义判断和类比推理能力。</w:t>
      </w:r>
    </w:p>
    <w:p w14:paraId="6B9BD715">
      <w:pPr>
        <w:spacing w:line="360" w:lineRule="auto"/>
        <w:ind w:firstLine="482" w:firstLineChars="200"/>
        <w:outlineLvl w:val="0"/>
        <w:rPr>
          <w:rFonts w:hint="eastAsia"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（三）语言表达能力</w:t>
      </w:r>
      <w:r>
        <w:rPr>
          <w:rFonts w:hint="eastAsia" w:ascii="宋体" w:hAnsi="宋体"/>
          <w:bCs/>
          <w:color w:val="000000" w:themeColor="text1"/>
          <w:sz w:val="24"/>
          <w14:textFill>
            <w14:solidFill>
              <w14:schemeClr w14:val="tx1"/>
            </w14:solidFill>
          </w14:textFill>
        </w:rPr>
        <w:t>（占10%）</w:t>
      </w:r>
    </w:p>
    <w:p w14:paraId="4855A2FC">
      <w:pPr>
        <w:spacing w:line="360" w:lineRule="auto"/>
        <w:ind w:firstLine="480" w:firstLineChars="200"/>
        <w:outlineLvl w:val="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1.测评考生的观点、意图、目的表达能力</w:t>
      </w:r>
      <w:r>
        <w:rPr>
          <w:rFonts w:hint="eastAsia" w:ascii="宋体" w:hAnsi="宋体"/>
          <w:color w:val="000000" w:themeColor="text1"/>
          <w:sz w:val="24"/>
          <w:lang w:eastAsia="zh-CN"/>
          <w14:textFill>
            <w14:solidFill>
              <w14:schemeClr w14:val="tx1"/>
            </w14:solidFill>
          </w14:textFill>
        </w:rPr>
        <w:t>。</w:t>
      </w:r>
    </w:p>
    <w:p w14:paraId="71D2643C">
      <w:pPr>
        <w:spacing w:line="360" w:lineRule="auto"/>
        <w:ind w:firstLine="480" w:firstLineChars="200"/>
        <w:outlineLvl w:val="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2.测评考生的语言组织能力。</w:t>
      </w:r>
    </w:p>
    <w:p w14:paraId="34240F25">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（四）常识判断能力</w:t>
      </w:r>
      <w:r>
        <w:rPr>
          <w:rFonts w:hint="eastAsia" w:ascii="宋体" w:hAnsi="宋体"/>
          <w:bCs/>
          <w:color w:val="000000" w:themeColor="text1"/>
          <w:sz w:val="24"/>
          <w14:textFill>
            <w14:solidFill>
              <w14:schemeClr w14:val="tx1"/>
            </w14:solidFill>
          </w14:textFill>
        </w:rPr>
        <w:t>（占20%）</w:t>
      </w:r>
    </w:p>
    <w:p w14:paraId="6665C266">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1.测评考生的政治经济方面的常识。</w:t>
      </w:r>
    </w:p>
    <w:p w14:paraId="68DFB99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2.测评考生的历史和文化常识。</w:t>
      </w:r>
    </w:p>
    <w:p w14:paraId="69DFBD5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3.测评考生的地理、自然和科技方面的常识。</w:t>
      </w:r>
    </w:p>
    <w:p w14:paraId="476F39CC">
      <w:pPr>
        <w:spacing w:line="360" w:lineRule="auto"/>
        <w:ind w:firstLine="361" w:firstLineChars="150"/>
        <w:outlineLvl w:val="0"/>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（五）财务管理岗位潜力</w:t>
      </w:r>
      <w:r>
        <w:rPr>
          <w:rFonts w:hint="eastAsia" w:ascii="宋体" w:hAnsi="宋体"/>
          <w:bCs/>
          <w:color w:val="000000" w:themeColor="text1"/>
          <w:sz w:val="24"/>
          <w14:textFill>
            <w14:solidFill>
              <w14:schemeClr w14:val="tx1"/>
            </w14:solidFill>
          </w14:textFill>
        </w:rPr>
        <w:t>（占20%）</w:t>
      </w:r>
    </w:p>
    <w:p w14:paraId="110931B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1.测评考生对目前财会</w:t>
      </w:r>
      <w:r>
        <w:rPr>
          <w:rFonts w:hint="eastAsia" w:ascii="宋体" w:hAnsi="宋体"/>
          <w:color w:val="000000" w:themeColor="text1"/>
          <w:sz w:val="24"/>
          <w:lang w:val="en-US" w:eastAsia="zh-CN"/>
          <w14:textFill>
            <w14:solidFill>
              <w14:schemeClr w14:val="tx1"/>
            </w14:solidFill>
          </w14:textFill>
        </w:rPr>
        <w:t>职业</w:t>
      </w:r>
      <w:r>
        <w:rPr>
          <w:rFonts w:hint="eastAsia" w:ascii="宋体" w:hAnsi="宋体"/>
          <w:color w:val="000000" w:themeColor="text1"/>
          <w:sz w:val="24"/>
          <w14:textFill>
            <w14:solidFill>
              <w14:schemeClr w14:val="tx1"/>
            </w14:solidFill>
          </w14:textFill>
        </w:rPr>
        <w:t>的了解程度。</w:t>
      </w:r>
    </w:p>
    <w:p w14:paraId="28C5BEF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2.通过对涉及职业相关的案例或者问题进行判断、分析，测评考生在职业情景中的理解能力、分析能力、判断能力。</w:t>
      </w:r>
    </w:p>
    <w:p w14:paraId="453C7A2D">
      <w:pPr>
        <w:spacing w:line="360" w:lineRule="auto"/>
        <w:ind w:firstLine="482" w:firstLineChars="200"/>
        <w:rPr>
          <w:rFonts w:asci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（六）与专业相关的其他能力</w:t>
      </w:r>
      <w:r>
        <w:rPr>
          <w:rFonts w:hint="eastAsia" w:ascii="宋体" w:hAnsi="宋体"/>
          <w:bCs/>
          <w:color w:val="000000" w:themeColor="text1"/>
          <w:sz w:val="24"/>
          <w14:textFill>
            <w14:solidFill>
              <w14:schemeClr w14:val="tx1"/>
            </w14:solidFill>
          </w14:textFill>
        </w:rPr>
        <w:t>（占15%）</w:t>
      </w:r>
    </w:p>
    <w:p w14:paraId="29B3AEE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测评考生对大数据与财务管理专业相关岗位的了解，要求考生从</w:t>
      </w:r>
      <w:r>
        <w:rPr>
          <w:rFonts w:hint="eastAsia" w:ascii="宋体" w:hAnsi="宋体"/>
          <w:color w:val="000000" w:themeColor="text1"/>
          <w:sz w:val="24"/>
          <w14:textFill>
            <w14:solidFill>
              <w14:schemeClr w14:val="tx1"/>
            </w14:solidFill>
          </w14:textFill>
        </w:rPr>
        <w:t>自我分析</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职业分析</w:t>
      </w:r>
      <w:r>
        <w:rPr>
          <w:rFonts w:hint="eastAsia" w:ascii="宋体" w:hAnsi="宋体"/>
          <w:color w:val="000000" w:themeColor="text1"/>
          <w:sz w:val="24"/>
          <w:lang w:val="en-US" w:eastAsia="zh-CN"/>
          <w14:textFill>
            <w14:solidFill>
              <w14:schemeClr w14:val="tx1"/>
            </w14:solidFill>
          </w14:textFill>
        </w:rPr>
        <w:t>和</w:t>
      </w:r>
      <w:r>
        <w:rPr>
          <w:rFonts w:hint="eastAsia" w:ascii="宋体" w:hAnsi="宋体"/>
          <w:color w:val="000000" w:themeColor="text1"/>
          <w:sz w:val="24"/>
          <w14:textFill>
            <w14:solidFill>
              <w14:schemeClr w14:val="tx1"/>
            </w14:solidFill>
          </w14:textFill>
        </w:rPr>
        <w:t>职业定位</w:t>
      </w:r>
      <w:r>
        <w:rPr>
          <w:rFonts w:hint="eastAsia" w:ascii="宋体" w:hAnsi="宋体"/>
          <w:color w:val="000000" w:themeColor="text1"/>
          <w:sz w:val="24"/>
          <w:lang w:val="en-US" w:eastAsia="zh-CN"/>
          <w14:textFill>
            <w14:solidFill>
              <w14:schemeClr w14:val="tx1"/>
            </w14:solidFill>
          </w14:textFill>
        </w:rPr>
        <w:t>等维度，做出合理职业生涯规划。</w:t>
      </w:r>
    </w:p>
    <w:p w14:paraId="53E100C4">
      <w:pPr>
        <w:spacing w:line="360" w:lineRule="auto"/>
        <w:rPr>
          <w:rFonts w:ascii="宋体" w:hAnsi="宋体"/>
          <w:color w:val="000000" w:themeColor="text1"/>
          <w:sz w:val="24"/>
          <w14:textFill>
            <w14:solidFill>
              <w14:schemeClr w14:val="tx1"/>
            </w14:solidFill>
          </w14:textFill>
        </w:rPr>
      </w:pPr>
    </w:p>
    <w:p w14:paraId="23122D1E">
      <w:pPr>
        <w:rPr>
          <w:color w:val="000000" w:themeColor="text1"/>
          <w14:textFill>
            <w14:solidFill>
              <w14:schemeClr w14:val="tx1"/>
            </w14:solidFill>
          </w14:textFill>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BFE3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EA95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7EA95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NGE5MzUzODA2NmVhOGVmZTMzYWIzYzk3ZTgyYTMifQ=="/>
  </w:docVars>
  <w:rsids>
    <w:rsidRoot w:val="00303090"/>
    <w:rsid w:val="000705B3"/>
    <w:rsid w:val="001B76AF"/>
    <w:rsid w:val="00303090"/>
    <w:rsid w:val="003F3C0D"/>
    <w:rsid w:val="005419B7"/>
    <w:rsid w:val="00585F28"/>
    <w:rsid w:val="007951B7"/>
    <w:rsid w:val="008A171C"/>
    <w:rsid w:val="00B92AEA"/>
    <w:rsid w:val="01A22C15"/>
    <w:rsid w:val="033953A7"/>
    <w:rsid w:val="03646DA0"/>
    <w:rsid w:val="04CB2483"/>
    <w:rsid w:val="04FC6AE0"/>
    <w:rsid w:val="05983768"/>
    <w:rsid w:val="08127887"/>
    <w:rsid w:val="0A0E5ECA"/>
    <w:rsid w:val="0ACE4A7B"/>
    <w:rsid w:val="0B6952CF"/>
    <w:rsid w:val="0C767178"/>
    <w:rsid w:val="0D61393B"/>
    <w:rsid w:val="14D90A41"/>
    <w:rsid w:val="169F1079"/>
    <w:rsid w:val="19845401"/>
    <w:rsid w:val="1B0B1212"/>
    <w:rsid w:val="1C9A2A0F"/>
    <w:rsid w:val="1CB743E2"/>
    <w:rsid w:val="1E4A5D6E"/>
    <w:rsid w:val="200C3C23"/>
    <w:rsid w:val="20C34BDF"/>
    <w:rsid w:val="27313F6F"/>
    <w:rsid w:val="27800A4E"/>
    <w:rsid w:val="295C627D"/>
    <w:rsid w:val="2BEC421F"/>
    <w:rsid w:val="2CEB2E12"/>
    <w:rsid w:val="2FF92EB3"/>
    <w:rsid w:val="300A74EB"/>
    <w:rsid w:val="324E3C27"/>
    <w:rsid w:val="379E1835"/>
    <w:rsid w:val="383477D4"/>
    <w:rsid w:val="38FA68B7"/>
    <w:rsid w:val="3BD01B2A"/>
    <w:rsid w:val="3D170E58"/>
    <w:rsid w:val="3D55744A"/>
    <w:rsid w:val="3EC46D9E"/>
    <w:rsid w:val="40D7726D"/>
    <w:rsid w:val="497E1148"/>
    <w:rsid w:val="4D901774"/>
    <w:rsid w:val="4EDD1DD2"/>
    <w:rsid w:val="4F7D5DFD"/>
    <w:rsid w:val="502D4642"/>
    <w:rsid w:val="517573F5"/>
    <w:rsid w:val="519D4411"/>
    <w:rsid w:val="527A416D"/>
    <w:rsid w:val="53CC1436"/>
    <w:rsid w:val="562B7C58"/>
    <w:rsid w:val="585C0BC0"/>
    <w:rsid w:val="5CA218BC"/>
    <w:rsid w:val="5EF17565"/>
    <w:rsid w:val="615127BD"/>
    <w:rsid w:val="620247F4"/>
    <w:rsid w:val="66441AE8"/>
    <w:rsid w:val="6AED32D6"/>
    <w:rsid w:val="6B67123D"/>
    <w:rsid w:val="6EB9003D"/>
    <w:rsid w:val="725325B9"/>
    <w:rsid w:val="72896AFC"/>
    <w:rsid w:val="72CC236B"/>
    <w:rsid w:val="745953BA"/>
    <w:rsid w:val="74F87447"/>
    <w:rsid w:val="76F81914"/>
    <w:rsid w:val="78A4385C"/>
    <w:rsid w:val="79085B30"/>
    <w:rsid w:val="7C34660D"/>
    <w:rsid w:val="7DF50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autoRedefine/>
    <w:semiHidden/>
    <w:qFormat/>
    <w:uiPriority w:val="99"/>
    <w:rPr>
      <w:rFonts w:ascii="Times New Roman" w:hAnsi="Times New Roman" w:cs="Times New Roman"/>
      <w:kern w:val="2"/>
      <w:sz w:val="18"/>
      <w:szCs w:val="18"/>
    </w:rPr>
  </w:style>
  <w:style w:type="character" w:customStyle="1" w:styleId="8">
    <w:name w:val="页脚 字符"/>
    <w:basedOn w:val="5"/>
    <w:link w:val="2"/>
    <w:autoRedefine/>
    <w:semiHidden/>
    <w:qFormat/>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917</Words>
  <Characters>947</Characters>
  <Lines>9</Lines>
  <Paragraphs>2</Paragraphs>
  <TotalTime>11</TotalTime>
  <ScaleCrop>false</ScaleCrop>
  <LinksUpToDate>false</LinksUpToDate>
  <CharactersWithSpaces>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2026-01-15T01:11:00Z</dcterms:created>
  <dc:creator>58583</dc:creator>
  <cp:lastModifiedBy>范国平</cp:lastModifiedBy>
  <dcterms:modified xsi:type="dcterms:W3CDTF">2026-03-09T06:26:13Z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B835F35D32474CB8BF798D9B91ECF579_13</vt:lpwstr>
  </property>
  <property fmtid="{D5CDD505-2E9C-101B-9397-08002B2CF9AE}" pid="4" name="KSOTemplateDocerSaveRecord">
    <vt:lpwstr>eyJoZGlkIjoiOGI4YzdiYThhOWVhMDU1MjdmZjllMDM5MmM4NGVjZWUiLCJ1c2VySWQiOiIzNDc3MDkzNTAifQ==</vt:lpwstr>
  </property>
</Properties>
</file>