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drawing>
          <wp:anchor distT="0" distB="0" distL="114300" distR="114300" simplePos="0" relativeHeight="251659264" behindDoc="0" locked="0" layoutInCell="1" allowOverlap="1">
            <wp:simplePos x="0" y="0"/>
            <wp:positionH relativeFrom="column">
              <wp:posOffset>1804035</wp:posOffset>
            </wp:positionH>
            <wp:positionV relativeFrom="paragraph">
              <wp:posOffset>207010</wp:posOffset>
            </wp:positionV>
            <wp:extent cx="1650365" cy="38862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1650365" cy="388620"/>
                    </a:xfrm>
                    <a:prstGeom prst="rect">
                      <a:avLst/>
                    </a:prstGeom>
                    <a:noFill/>
                    <a:ln w="9525">
                      <a:noFill/>
                      <a:miter lim="800000"/>
                      <a:headEnd/>
                      <a:tailEnd/>
                    </a:ln>
                  </pic:spPr>
                </pic:pic>
              </a:graphicData>
            </a:graphic>
          </wp:anchor>
        </w:drawing>
      </w:r>
    </w:p>
    <w:p>
      <w:pPr>
        <w:spacing w:line="360" w:lineRule="auto"/>
        <w:jc w:val="center"/>
        <w:rPr>
          <w:rFonts w:ascii="宋体" w:hAnsi="宋体"/>
          <w:b/>
          <w:color w:val="000000" w:themeColor="text1"/>
          <w:sz w:val="32"/>
          <w:szCs w:val="32"/>
        </w:rPr>
      </w:pPr>
    </w:p>
    <w:p>
      <w:pPr>
        <w:spacing w:line="360" w:lineRule="auto"/>
        <w:jc w:val="center"/>
        <w:rPr>
          <w:rFonts w:ascii="宋体" w:hAnsi="宋体"/>
          <w:b/>
          <w:color w:val="000000" w:themeColor="text1"/>
          <w:sz w:val="32"/>
          <w:szCs w:val="32"/>
          <w14:textFill>
            <w14:solidFill>
              <w14:schemeClr w14:val="tx1"/>
            </w14:solidFill>
          </w14:textFill>
        </w:rPr>
      </w:pPr>
      <w:bookmarkStart w:id="0" w:name="_GoBack"/>
      <w:r>
        <w:rPr>
          <w:rFonts w:hint="eastAsia" w:ascii="宋体" w:hAnsi="宋体"/>
          <w:b/>
          <w:color w:val="000000" w:themeColor="text1"/>
          <w:sz w:val="32"/>
          <w:szCs w:val="32"/>
          <w14:textFill>
            <w14:solidFill>
              <w14:schemeClr w14:val="tx1"/>
            </w14:solidFill>
          </w14:textFill>
        </w:rPr>
        <w:t>跨境电子商务专业（单独考试  商业类）</w:t>
      </w:r>
    </w:p>
    <w:bookmarkEnd w:id="0"/>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t>202</w:t>
      </w:r>
      <w:r>
        <w:rPr>
          <w:rFonts w:hint="eastAsia" w:ascii="宋体" w:hAnsi="宋体"/>
          <w:b/>
          <w:color w:val="000000" w:themeColor="text1"/>
          <w:sz w:val="32"/>
          <w:szCs w:val="32"/>
          <w:lang w:val="en-US" w:eastAsia="zh-CN"/>
        </w:rPr>
        <w:t>4</w:t>
      </w:r>
      <w:r>
        <w:rPr>
          <w:rFonts w:hint="eastAsia" w:ascii="宋体" w:hAnsi="宋体"/>
          <w:b/>
          <w:color w:val="000000" w:themeColor="text1"/>
          <w:sz w:val="32"/>
          <w:szCs w:val="32"/>
        </w:rPr>
        <w:t>年高职提前招生综合素质测评大纲</w:t>
      </w:r>
    </w:p>
    <w:p>
      <w:pPr>
        <w:spacing w:line="360" w:lineRule="auto"/>
        <w:rPr>
          <w:rFonts w:ascii="宋体" w:hAnsi="宋体"/>
          <w:color w:val="000000" w:themeColor="text1"/>
          <w:sz w:val="24"/>
        </w:rPr>
      </w:pP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一、测评目标</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综合素质测评主要考查考生的学习能力、知识素养、商务岗位潜力、沟通能力、心理素质等。选拔出适合本专业学习、综合素质高、具有发展潜力的学生。具体测评内容包括以下几个方面：</w:t>
      </w:r>
    </w:p>
    <w:p>
      <w:pPr>
        <w:spacing w:line="360" w:lineRule="auto"/>
        <w:rPr>
          <w:rFonts w:ascii="宋体" w:hAnsi="宋体"/>
          <w:b/>
          <w:bCs/>
          <w:color w:val="000000" w:themeColor="text1"/>
          <w:sz w:val="24"/>
        </w:rPr>
      </w:pPr>
      <w:r>
        <w:rPr>
          <w:rFonts w:hint="eastAsia" w:ascii="宋体" w:hAnsi="宋体"/>
          <w:b/>
          <w:bCs/>
          <w:color w:val="000000" w:themeColor="text1"/>
          <w:sz w:val="24"/>
        </w:rPr>
        <w:t xml:space="preserve">    （一）常识判断能力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rPr>
          <w:color w:val="000000" w:themeColor="text1"/>
          <w:sz w:val="24"/>
        </w:rPr>
      </w:pPr>
      <w:r>
        <w:rPr>
          <w:rFonts w:hint="eastAsia" w:ascii="宋体" w:hAnsi="宋体"/>
          <w:color w:val="000000" w:themeColor="text1"/>
          <w:sz w:val="24"/>
        </w:rPr>
        <w:t xml:space="preserve">    </w:t>
      </w:r>
      <w:r>
        <w:rPr>
          <w:rFonts w:hint="eastAsia" w:ascii="宋体" w:hAnsi="宋体"/>
          <w:b/>
          <w:bCs/>
          <w:color w:val="000000" w:themeColor="text1"/>
          <w:sz w:val="24"/>
        </w:rPr>
        <w:t>（二）分析推理能力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测查考生对各种事物关系的分析推理能力，涉及对图形、语词概念和文字材料的理解、比较、组合、演绎和归纳等。常见的题型有：图形推理、定义判断、类比推理、逻辑判断等。</w:t>
      </w:r>
    </w:p>
    <w:p>
      <w:pPr>
        <w:spacing w:line="360" w:lineRule="auto"/>
        <w:rPr>
          <w:rFonts w:ascii="宋体" w:hAnsi="宋体"/>
          <w:color w:val="000000" w:themeColor="text1"/>
          <w:sz w:val="24"/>
        </w:rPr>
      </w:pPr>
      <w:r>
        <w:rPr>
          <w:rFonts w:hint="eastAsia" w:ascii="宋体" w:hAnsi="宋体"/>
          <w:b/>
          <w:bCs/>
          <w:color w:val="000000" w:themeColor="text1"/>
          <w:sz w:val="24"/>
        </w:rPr>
        <w:t xml:space="preserve">    （三）言语理解与表达能力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测查考生理解片段阅读的观点和观念的能力，能准确地判断作者的态度、意图和目的，能够理解一段话的中心思想和主旨。</w:t>
      </w:r>
    </w:p>
    <w:p>
      <w:pPr>
        <w:spacing w:line="360" w:lineRule="auto"/>
        <w:rPr>
          <w:rFonts w:ascii="宋体" w:hAnsi="宋体"/>
          <w:b/>
          <w:bCs/>
          <w:color w:val="000000" w:themeColor="text1"/>
          <w:sz w:val="24"/>
        </w:rPr>
      </w:pPr>
      <w:r>
        <w:rPr>
          <w:rFonts w:hint="eastAsia" w:ascii="宋体" w:hAnsi="宋体"/>
          <w:b/>
          <w:bCs/>
          <w:color w:val="000000" w:themeColor="text1"/>
          <w:sz w:val="24"/>
        </w:rPr>
        <w:t xml:space="preserve">    （四）商务岗位潜力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测查考生对跨境电子商务专业及相关岗位的认知程度，要求能根据所提供的商务模拟情景作出正确的分析和判断，能了解近期跨境电子商务形势，同时对浙江省的跨境电子商务概况有所了解。</w:t>
      </w:r>
    </w:p>
    <w:p>
      <w:pPr>
        <w:spacing w:line="360" w:lineRule="auto"/>
        <w:rPr>
          <w:rFonts w:ascii="宋体" w:hAnsi="宋体"/>
          <w:b/>
          <w:bCs/>
          <w:color w:val="000000" w:themeColor="text1"/>
          <w:sz w:val="24"/>
        </w:rPr>
      </w:pPr>
      <w:r>
        <w:rPr>
          <w:rFonts w:hint="eastAsia" w:ascii="宋体" w:hAnsi="宋体"/>
          <w:b/>
          <w:bCs/>
          <w:color w:val="000000" w:themeColor="text1"/>
          <w:sz w:val="24"/>
        </w:rPr>
        <w:t xml:space="preserve">    （五）与专业相关的其他能力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要求考生具备良好的诚信意识、创新意识、以及对未来职业的规划能力。</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二</w:t>
      </w:r>
      <w:r>
        <w:rPr>
          <w:rFonts w:ascii="宋体" w:hAnsi="宋体"/>
          <w:b/>
          <w:color w:val="000000" w:themeColor="text1"/>
          <w:sz w:val="24"/>
        </w:rPr>
        <w:t>、</w:t>
      </w:r>
      <w:r>
        <w:rPr>
          <w:rFonts w:hint="eastAsia" w:ascii="宋体" w:hAnsi="宋体"/>
          <w:b/>
          <w:color w:val="000000" w:themeColor="text1"/>
          <w:sz w:val="24"/>
        </w:rPr>
        <w:t>测评</w:t>
      </w:r>
      <w:r>
        <w:rPr>
          <w:rFonts w:ascii="宋体" w:hAnsi="宋体"/>
          <w:b/>
          <w:color w:val="000000" w:themeColor="text1"/>
          <w:sz w:val="24"/>
        </w:rPr>
        <w:t>内容</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（一）常识判断能力</w:t>
      </w:r>
      <w:r>
        <w:rPr>
          <w:rFonts w:hint="eastAsia" w:ascii="宋体" w:hAnsi="宋体"/>
          <w:bCs/>
          <w:color w:val="000000" w:themeColor="text1"/>
          <w:sz w:val="24"/>
        </w:rPr>
        <w:t>（占20%）</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1.测评考生的政治经济方面的常识。</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2.测评考生的历史和文化常识。</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3.测评考生的地理、自然和科技方面的常识。</w:t>
      </w:r>
    </w:p>
    <w:p>
      <w:pPr>
        <w:spacing w:line="360" w:lineRule="auto"/>
        <w:rPr>
          <w:b/>
          <w:bCs/>
          <w:color w:val="000000" w:themeColor="text1"/>
          <w:sz w:val="24"/>
        </w:rPr>
      </w:pPr>
      <w:r>
        <w:rPr>
          <w:rFonts w:hint="eastAsia" w:ascii="宋体" w:hAnsi="宋体"/>
          <w:b/>
          <w:bCs/>
          <w:color w:val="000000" w:themeColor="text1"/>
          <w:sz w:val="24"/>
        </w:rPr>
        <w:t xml:space="preserve">    （二）</w:t>
      </w:r>
      <w:r>
        <w:rPr>
          <w:rFonts w:hint="eastAsia"/>
          <w:b/>
          <w:bCs/>
          <w:color w:val="000000" w:themeColor="text1"/>
          <w:sz w:val="24"/>
        </w:rPr>
        <w:t>分析推理能力</w:t>
      </w:r>
      <w:r>
        <w:rPr>
          <w:rFonts w:hint="eastAsia" w:ascii="宋体" w:hAnsi="宋体" w:cs="宋体"/>
          <w:color w:val="000000" w:themeColor="text1"/>
          <w:sz w:val="24"/>
        </w:rPr>
        <w:t>（占15%）</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1.测</w:t>
      </w:r>
      <w:r>
        <w:rPr>
          <w:rFonts w:hint="eastAsia" w:ascii="宋体" w:hAnsi="宋体"/>
          <w:color w:val="000000" w:themeColor="text1"/>
          <w:sz w:val="24"/>
        </w:rPr>
        <w:t>评</w:t>
      </w:r>
      <w:r>
        <w:rPr>
          <w:rStyle w:val="12"/>
          <w:rFonts w:hint="eastAsia" w:ascii="宋体" w:hAnsi="宋体" w:cs="宋体"/>
          <w:b w:val="0"/>
          <w:color w:val="000000" w:themeColor="text1"/>
          <w:sz w:val="24"/>
          <w:shd w:val="clear" w:color="auto" w:fill="FFFFFF"/>
        </w:rPr>
        <w:t>考生的理解和比较能力。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2.测</w:t>
      </w:r>
      <w:r>
        <w:rPr>
          <w:rFonts w:hint="eastAsia" w:ascii="宋体" w:hAnsi="宋体"/>
          <w:color w:val="000000" w:themeColor="text1"/>
          <w:sz w:val="24"/>
        </w:rPr>
        <w:t>评</w:t>
      </w:r>
      <w:r>
        <w:rPr>
          <w:rStyle w:val="12"/>
          <w:rFonts w:hint="eastAsia" w:ascii="宋体" w:hAnsi="宋体" w:cs="宋体"/>
          <w:b w:val="0"/>
          <w:color w:val="000000" w:themeColor="text1"/>
          <w:sz w:val="24"/>
          <w:shd w:val="clear" w:color="auto" w:fill="FFFFFF"/>
        </w:rPr>
        <w:t>考生的演绎和归纳能力。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3.测</w:t>
      </w:r>
      <w:r>
        <w:rPr>
          <w:rFonts w:hint="eastAsia" w:ascii="宋体" w:hAnsi="宋体"/>
          <w:color w:val="000000" w:themeColor="text1"/>
          <w:sz w:val="24"/>
        </w:rPr>
        <w:t>评</w:t>
      </w:r>
      <w:r>
        <w:rPr>
          <w:rStyle w:val="12"/>
          <w:rFonts w:hint="eastAsia" w:ascii="宋体" w:hAnsi="宋体" w:cs="宋体"/>
          <w:b w:val="0"/>
          <w:color w:val="000000" w:themeColor="text1"/>
          <w:sz w:val="24"/>
          <w:shd w:val="clear" w:color="auto" w:fill="FFFFFF"/>
        </w:rPr>
        <w:t>考生的图形推理能力。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4.测</w:t>
      </w:r>
      <w:r>
        <w:rPr>
          <w:rFonts w:hint="eastAsia" w:ascii="宋体" w:hAnsi="宋体"/>
          <w:color w:val="000000" w:themeColor="text1"/>
          <w:sz w:val="24"/>
        </w:rPr>
        <w:t>评</w:t>
      </w:r>
      <w:r>
        <w:rPr>
          <w:rStyle w:val="12"/>
          <w:rFonts w:hint="eastAsia" w:ascii="宋体" w:hAnsi="宋体" w:cs="宋体"/>
          <w:b w:val="0"/>
          <w:color w:val="000000" w:themeColor="text1"/>
          <w:sz w:val="24"/>
          <w:shd w:val="clear" w:color="auto" w:fill="FFFFFF"/>
        </w:rPr>
        <w:t>考生的数字推理能力。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5.测</w:t>
      </w:r>
      <w:r>
        <w:rPr>
          <w:rFonts w:hint="eastAsia" w:ascii="宋体" w:hAnsi="宋体"/>
          <w:color w:val="000000" w:themeColor="text1"/>
          <w:sz w:val="24"/>
        </w:rPr>
        <w:t>评</w:t>
      </w:r>
      <w:r>
        <w:rPr>
          <w:rStyle w:val="12"/>
          <w:rFonts w:hint="eastAsia" w:ascii="宋体" w:hAnsi="宋体" w:cs="宋体"/>
          <w:b w:val="0"/>
          <w:color w:val="000000" w:themeColor="text1"/>
          <w:sz w:val="24"/>
          <w:shd w:val="clear" w:color="auto" w:fill="FFFFFF"/>
        </w:rPr>
        <w:t>考生的定义判断和类比推理能力。</w:t>
      </w:r>
    </w:p>
    <w:p>
      <w:pPr>
        <w:spacing w:line="360" w:lineRule="auto"/>
        <w:rPr>
          <w:rFonts w:ascii="宋体" w:hAnsi="宋体"/>
          <w:bCs/>
          <w:color w:val="000000" w:themeColor="text1"/>
          <w:sz w:val="24"/>
        </w:rPr>
      </w:pPr>
      <w:r>
        <w:rPr>
          <w:rFonts w:hint="eastAsia" w:ascii="宋体" w:hAnsi="宋体"/>
          <w:b/>
          <w:color w:val="000000" w:themeColor="text1"/>
          <w:sz w:val="24"/>
        </w:rPr>
        <w:t xml:space="preserve">    （三）言语理解与表达能力</w:t>
      </w:r>
      <w:r>
        <w:rPr>
          <w:rFonts w:hint="eastAsia" w:ascii="宋体" w:hAnsi="宋体"/>
          <w:bCs/>
          <w:color w:val="000000" w:themeColor="text1"/>
          <w:sz w:val="24"/>
        </w:rPr>
        <w:t>（占15%）</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1.测评考生的片段阅读能力。</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2.测评考生的主旨概括能力。</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3.测评考生的查找信息和细节的能力。</w:t>
      </w:r>
    </w:p>
    <w:p>
      <w:pPr>
        <w:spacing w:line="360" w:lineRule="auto"/>
        <w:rPr>
          <w:rFonts w:ascii="宋体" w:hAnsi="宋体"/>
          <w:color w:val="000000" w:themeColor="text1"/>
          <w:sz w:val="24"/>
        </w:rPr>
      </w:pPr>
      <w:r>
        <w:rPr>
          <w:rFonts w:hint="eastAsia" w:ascii="宋体" w:hAnsi="宋体"/>
          <w:color w:val="000000" w:themeColor="text1"/>
          <w:sz w:val="24"/>
        </w:rPr>
        <w:t xml:space="preserve">    4.测评考生的观点、意图、目的判断能力。</w:t>
      </w:r>
    </w:p>
    <w:p>
      <w:pPr>
        <w:spacing w:line="360" w:lineRule="auto"/>
        <w:rPr>
          <w:rFonts w:ascii="宋体" w:hAnsi="宋体"/>
          <w:bCs/>
          <w:color w:val="000000" w:themeColor="text1"/>
          <w:sz w:val="24"/>
        </w:rPr>
      </w:pPr>
      <w:r>
        <w:rPr>
          <w:rFonts w:hint="eastAsia" w:ascii="宋体" w:hAnsi="宋体"/>
          <w:b/>
          <w:color w:val="000000" w:themeColor="text1"/>
          <w:sz w:val="24"/>
        </w:rPr>
        <w:t xml:space="preserve">    （四）商务岗位潜力</w:t>
      </w:r>
      <w:r>
        <w:rPr>
          <w:rFonts w:hint="eastAsia" w:ascii="宋体" w:hAnsi="宋体"/>
          <w:bCs/>
          <w:color w:val="000000" w:themeColor="text1"/>
          <w:sz w:val="24"/>
        </w:rPr>
        <w:t>（占25%）</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1.测评考生对目前跨境电子商务形势的了解程度。</w:t>
      </w:r>
    </w:p>
    <w:p>
      <w:pPr>
        <w:spacing w:line="360" w:lineRule="auto"/>
        <w:rPr>
          <w:rFonts w:ascii="宋体" w:hAnsi="宋体"/>
          <w:color w:val="000000" w:themeColor="text1"/>
          <w:sz w:val="24"/>
        </w:rPr>
      </w:pPr>
      <w:r>
        <w:rPr>
          <w:rFonts w:hint="eastAsia" w:ascii="宋体" w:hAnsi="宋体"/>
          <w:color w:val="000000" w:themeColor="text1"/>
          <w:sz w:val="24"/>
        </w:rPr>
        <w:t xml:space="preserve">    2.通过对涉及社会生活及跨境电子商务职业相关的案例或者问题进行判断、分析，测评考生在职业情景中的理解能力、分析能力、判断能力。</w:t>
      </w:r>
    </w:p>
    <w:p>
      <w:pPr>
        <w:spacing w:line="360" w:lineRule="auto"/>
        <w:rPr>
          <w:rFonts w:ascii="宋体" w:hAnsi="宋体"/>
          <w:b/>
          <w:color w:val="000000" w:themeColor="text1"/>
          <w:sz w:val="24"/>
        </w:rPr>
      </w:pPr>
      <w:r>
        <w:rPr>
          <w:rFonts w:hint="eastAsia" w:ascii="宋体" w:hAnsi="宋体"/>
          <w:b/>
          <w:color w:val="000000" w:themeColor="text1"/>
          <w:sz w:val="24"/>
        </w:rPr>
        <w:t xml:space="preserve">    （五）与专业相关的其他能力</w:t>
      </w:r>
      <w:r>
        <w:rPr>
          <w:rFonts w:hint="eastAsia" w:ascii="宋体" w:hAnsi="宋体"/>
          <w:bCs/>
          <w:color w:val="000000" w:themeColor="text1"/>
          <w:sz w:val="24"/>
        </w:rPr>
        <w:t>（占25%）</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1.诚信意识</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在为人处事中具备较强的诚信意识，以适应未来跨境电子商务行业专业岗位的要求。</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2.创新意识</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能够用创新的方式与方法解决日常社会生活中的问题,有自己独立的思考，能提出自己的见解。</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3.职业生涯规划测评</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（1）自我分析：如职业兴趣－喜欢干什么、职业价值观－最看重什么、性格特征－适合干什么、胜任能力－优劣势是什么。</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（2）职业分析：对职业选择的相关外部环境进行较为系统的分析。如家庭环境分析、社会环境分析、职业环境分析。</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（3）职业定位：如将来从事××职业、进入××类型的组织、具体路径（如你想要考取的证书、你将努力具备怎样的能力）等。</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5NGE5MzUzODA2NmVhOGVmZTMzYWIzYzk3ZTgyYTMifQ=="/>
  </w:docVars>
  <w:rsids>
    <w:rsidRoot w:val="00FF40BD"/>
    <w:rsid w:val="00001CAA"/>
    <w:rsid w:val="000032B2"/>
    <w:rsid w:val="00003E9A"/>
    <w:rsid w:val="0001397B"/>
    <w:rsid w:val="0001670D"/>
    <w:rsid w:val="0002077A"/>
    <w:rsid w:val="00024C19"/>
    <w:rsid w:val="00034CFE"/>
    <w:rsid w:val="00041549"/>
    <w:rsid w:val="00046C18"/>
    <w:rsid w:val="00047082"/>
    <w:rsid w:val="00065E1C"/>
    <w:rsid w:val="00082FE5"/>
    <w:rsid w:val="000C756A"/>
    <w:rsid w:val="000E4814"/>
    <w:rsid w:val="000F2F4A"/>
    <w:rsid w:val="0010317E"/>
    <w:rsid w:val="00107C14"/>
    <w:rsid w:val="00112CF6"/>
    <w:rsid w:val="001166C8"/>
    <w:rsid w:val="00122532"/>
    <w:rsid w:val="00131892"/>
    <w:rsid w:val="00156001"/>
    <w:rsid w:val="00161326"/>
    <w:rsid w:val="00186E69"/>
    <w:rsid w:val="001A26AB"/>
    <w:rsid w:val="001C05BD"/>
    <w:rsid w:val="001C3BE1"/>
    <w:rsid w:val="001C4685"/>
    <w:rsid w:val="001D771C"/>
    <w:rsid w:val="001F7AB9"/>
    <w:rsid w:val="0020776F"/>
    <w:rsid w:val="00217CE2"/>
    <w:rsid w:val="00224DEF"/>
    <w:rsid w:val="00225866"/>
    <w:rsid w:val="00244652"/>
    <w:rsid w:val="00257B03"/>
    <w:rsid w:val="00260728"/>
    <w:rsid w:val="00261BEB"/>
    <w:rsid w:val="00285FFE"/>
    <w:rsid w:val="00291CC3"/>
    <w:rsid w:val="00295FB2"/>
    <w:rsid w:val="002B2141"/>
    <w:rsid w:val="002B3C5D"/>
    <w:rsid w:val="002D1B50"/>
    <w:rsid w:val="002D3188"/>
    <w:rsid w:val="002E0B0F"/>
    <w:rsid w:val="002F0EEC"/>
    <w:rsid w:val="003000DB"/>
    <w:rsid w:val="00317B08"/>
    <w:rsid w:val="003279AD"/>
    <w:rsid w:val="00331D37"/>
    <w:rsid w:val="0033233B"/>
    <w:rsid w:val="003357A5"/>
    <w:rsid w:val="00347CD0"/>
    <w:rsid w:val="00397A9C"/>
    <w:rsid w:val="003A1540"/>
    <w:rsid w:val="003C1F9B"/>
    <w:rsid w:val="003C2A18"/>
    <w:rsid w:val="004113FF"/>
    <w:rsid w:val="00461E8F"/>
    <w:rsid w:val="00463A6E"/>
    <w:rsid w:val="00464D2A"/>
    <w:rsid w:val="00484489"/>
    <w:rsid w:val="00490802"/>
    <w:rsid w:val="004C0D7A"/>
    <w:rsid w:val="004C66C0"/>
    <w:rsid w:val="004D74A7"/>
    <w:rsid w:val="0050306D"/>
    <w:rsid w:val="0051395B"/>
    <w:rsid w:val="00527110"/>
    <w:rsid w:val="005414EC"/>
    <w:rsid w:val="00551185"/>
    <w:rsid w:val="00593ADE"/>
    <w:rsid w:val="00596383"/>
    <w:rsid w:val="00596620"/>
    <w:rsid w:val="005A4D21"/>
    <w:rsid w:val="005B4EB0"/>
    <w:rsid w:val="005C0F89"/>
    <w:rsid w:val="005C0FD1"/>
    <w:rsid w:val="005C3AC0"/>
    <w:rsid w:val="005C40FC"/>
    <w:rsid w:val="005C469F"/>
    <w:rsid w:val="005C6DEF"/>
    <w:rsid w:val="005E3977"/>
    <w:rsid w:val="006207C9"/>
    <w:rsid w:val="006444CB"/>
    <w:rsid w:val="00663981"/>
    <w:rsid w:val="00693CBE"/>
    <w:rsid w:val="006A7D29"/>
    <w:rsid w:val="006C4DE9"/>
    <w:rsid w:val="006D2F6C"/>
    <w:rsid w:val="006D3022"/>
    <w:rsid w:val="006D4F2C"/>
    <w:rsid w:val="006D5D00"/>
    <w:rsid w:val="006E31CB"/>
    <w:rsid w:val="00700423"/>
    <w:rsid w:val="00702411"/>
    <w:rsid w:val="00703A3E"/>
    <w:rsid w:val="007640B7"/>
    <w:rsid w:val="00776FA9"/>
    <w:rsid w:val="0078097C"/>
    <w:rsid w:val="00782987"/>
    <w:rsid w:val="0078411B"/>
    <w:rsid w:val="00792F73"/>
    <w:rsid w:val="007B1FA5"/>
    <w:rsid w:val="007B3359"/>
    <w:rsid w:val="007B349B"/>
    <w:rsid w:val="007B58DA"/>
    <w:rsid w:val="007D4312"/>
    <w:rsid w:val="007D586C"/>
    <w:rsid w:val="007F5CD0"/>
    <w:rsid w:val="00804167"/>
    <w:rsid w:val="00806D1C"/>
    <w:rsid w:val="00810F57"/>
    <w:rsid w:val="0082066B"/>
    <w:rsid w:val="00827705"/>
    <w:rsid w:val="008567BE"/>
    <w:rsid w:val="00857297"/>
    <w:rsid w:val="008B5E8E"/>
    <w:rsid w:val="008B7786"/>
    <w:rsid w:val="008C0F5A"/>
    <w:rsid w:val="008C4ABA"/>
    <w:rsid w:val="008C7182"/>
    <w:rsid w:val="00907A0F"/>
    <w:rsid w:val="009173F1"/>
    <w:rsid w:val="009235DB"/>
    <w:rsid w:val="0092561E"/>
    <w:rsid w:val="00926127"/>
    <w:rsid w:val="00945C71"/>
    <w:rsid w:val="009500AD"/>
    <w:rsid w:val="00950B43"/>
    <w:rsid w:val="00963F93"/>
    <w:rsid w:val="00974FB0"/>
    <w:rsid w:val="00985AF4"/>
    <w:rsid w:val="009B0195"/>
    <w:rsid w:val="009B3B93"/>
    <w:rsid w:val="009B7C93"/>
    <w:rsid w:val="009C2331"/>
    <w:rsid w:val="009C6F7C"/>
    <w:rsid w:val="009D05CA"/>
    <w:rsid w:val="009F0B76"/>
    <w:rsid w:val="00A0156E"/>
    <w:rsid w:val="00A22186"/>
    <w:rsid w:val="00A24358"/>
    <w:rsid w:val="00A25697"/>
    <w:rsid w:val="00A27CFE"/>
    <w:rsid w:val="00A438E4"/>
    <w:rsid w:val="00A43900"/>
    <w:rsid w:val="00A44FD0"/>
    <w:rsid w:val="00A61C9D"/>
    <w:rsid w:val="00A90893"/>
    <w:rsid w:val="00AB5DB0"/>
    <w:rsid w:val="00AF46A9"/>
    <w:rsid w:val="00B03D97"/>
    <w:rsid w:val="00B20252"/>
    <w:rsid w:val="00B514A5"/>
    <w:rsid w:val="00B6366A"/>
    <w:rsid w:val="00B8236B"/>
    <w:rsid w:val="00B93819"/>
    <w:rsid w:val="00BA5928"/>
    <w:rsid w:val="00BB2F56"/>
    <w:rsid w:val="00BB552D"/>
    <w:rsid w:val="00BC4EBF"/>
    <w:rsid w:val="00BD6402"/>
    <w:rsid w:val="00BE3DEA"/>
    <w:rsid w:val="00BF5C66"/>
    <w:rsid w:val="00C00222"/>
    <w:rsid w:val="00C11428"/>
    <w:rsid w:val="00C150EF"/>
    <w:rsid w:val="00C5398A"/>
    <w:rsid w:val="00C6503A"/>
    <w:rsid w:val="00C73F19"/>
    <w:rsid w:val="00C808D7"/>
    <w:rsid w:val="00C87179"/>
    <w:rsid w:val="00C93357"/>
    <w:rsid w:val="00C9531F"/>
    <w:rsid w:val="00CA03E4"/>
    <w:rsid w:val="00CC018B"/>
    <w:rsid w:val="00CC704E"/>
    <w:rsid w:val="00CD1315"/>
    <w:rsid w:val="00CF2E10"/>
    <w:rsid w:val="00D24528"/>
    <w:rsid w:val="00D338DD"/>
    <w:rsid w:val="00D57FE6"/>
    <w:rsid w:val="00D7020E"/>
    <w:rsid w:val="00D8497E"/>
    <w:rsid w:val="00D91254"/>
    <w:rsid w:val="00D91C91"/>
    <w:rsid w:val="00DA4488"/>
    <w:rsid w:val="00DC6F87"/>
    <w:rsid w:val="00DD0D23"/>
    <w:rsid w:val="00DD3D26"/>
    <w:rsid w:val="00DE5FF8"/>
    <w:rsid w:val="00E1058D"/>
    <w:rsid w:val="00E27488"/>
    <w:rsid w:val="00E3354B"/>
    <w:rsid w:val="00E7341A"/>
    <w:rsid w:val="00E817DE"/>
    <w:rsid w:val="00EA0656"/>
    <w:rsid w:val="00EA4456"/>
    <w:rsid w:val="00ED0852"/>
    <w:rsid w:val="00ED5A90"/>
    <w:rsid w:val="00EE085F"/>
    <w:rsid w:val="00EE3BB3"/>
    <w:rsid w:val="00EE7570"/>
    <w:rsid w:val="00EF147B"/>
    <w:rsid w:val="00F11440"/>
    <w:rsid w:val="00F367C3"/>
    <w:rsid w:val="00F51C4E"/>
    <w:rsid w:val="00F67DCD"/>
    <w:rsid w:val="00F745F6"/>
    <w:rsid w:val="00FA27C2"/>
    <w:rsid w:val="00FB5C00"/>
    <w:rsid w:val="00FC4D02"/>
    <w:rsid w:val="00FE1FB8"/>
    <w:rsid w:val="00FF20FA"/>
    <w:rsid w:val="00FF40BD"/>
    <w:rsid w:val="00FF5689"/>
    <w:rsid w:val="066F069C"/>
    <w:rsid w:val="10E87D24"/>
    <w:rsid w:val="136B2240"/>
    <w:rsid w:val="14CE23B0"/>
    <w:rsid w:val="182A7068"/>
    <w:rsid w:val="1C2361BA"/>
    <w:rsid w:val="1D5A0EC1"/>
    <w:rsid w:val="23215715"/>
    <w:rsid w:val="2804761C"/>
    <w:rsid w:val="2EA00361"/>
    <w:rsid w:val="316267A8"/>
    <w:rsid w:val="32194741"/>
    <w:rsid w:val="36202FAA"/>
    <w:rsid w:val="3D82083F"/>
    <w:rsid w:val="4AE66012"/>
    <w:rsid w:val="4AF41DD0"/>
    <w:rsid w:val="4B1D439F"/>
    <w:rsid w:val="4E0C4DBD"/>
    <w:rsid w:val="4EF92E86"/>
    <w:rsid w:val="4F483AFF"/>
    <w:rsid w:val="4F871206"/>
    <w:rsid w:val="4FF03502"/>
    <w:rsid w:val="544D654D"/>
    <w:rsid w:val="54713895"/>
    <w:rsid w:val="579D75AD"/>
    <w:rsid w:val="634F5124"/>
    <w:rsid w:val="644407C9"/>
    <w:rsid w:val="64F87011"/>
    <w:rsid w:val="66482736"/>
    <w:rsid w:val="679F070D"/>
    <w:rsid w:val="695A1B0B"/>
    <w:rsid w:val="6BE04A36"/>
    <w:rsid w:val="70235D3A"/>
    <w:rsid w:val="73946F4B"/>
    <w:rsid w:val="74B62489"/>
    <w:rsid w:val="7577543C"/>
    <w:rsid w:val="799E3F64"/>
    <w:rsid w:val="7C3E438A"/>
    <w:rsid w:val="7CFA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semiHidden/>
    <w:qFormat/>
    <w:uiPriority w:val="0"/>
    <w:rPr>
      <w:b/>
      <w:bCs/>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annotation reference"/>
    <w:autoRedefine/>
    <w:semiHidden/>
    <w:qFormat/>
    <w:uiPriority w:val="0"/>
    <w:rPr>
      <w:sz w:val="21"/>
      <w:szCs w:val="21"/>
    </w:rPr>
  </w:style>
  <w:style w:type="paragraph" w:customStyle="1" w:styleId="14">
    <w:name w:val="msonospacing"/>
    <w:basedOn w:val="1"/>
    <w:autoRedefine/>
    <w:qFormat/>
    <w:uiPriority w:val="0"/>
    <w:pPr>
      <w:widowControl/>
      <w:jc w:val="left"/>
    </w:pPr>
    <w:rPr>
      <w:rFonts w:ascii="宋体" w:hAnsi="宋体" w:cs="宋体"/>
      <w:kern w:val="0"/>
      <w:sz w:val="24"/>
    </w:rPr>
  </w:style>
  <w:style w:type="paragraph" w:styleId="15">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192</Words>
  <Characters>1096</Characters>
  <Lines>9</Lines>
  <Paragraphs>2</Paragraphs>
  <TotalTime>3</TotalTime>
  <ScaleCrop>false</ScaleCrop>
  <LinksUpToDate>false</LinksUpToDate>
  <CharactersWithSpaces>1286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2018-01-22T01:22:00Z</dcterms:created>
  <dc:creator>猪猪猫.CN</dc:creator>
  <cp:lastModifiedBy>yi</cp:lastModifiedBy>
  <cp:lastPrinted>2015-12-03T07:28:00Z</cp:lastPrinted>
  <dcterms:modified xsi:type="dcterms:W3CDTF">2024-01-31T08:29:20Z</dcterms:modified>
  <dc:title>会计专业2012年自主招生综合素质测试方案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77F56B44861F44C1A39359FE1A7007EB</vt:lpwstr>
  </property>
</Properties>
</file>